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ascii="文星简小标宋" w:eastAsia="文星简小标宋"/>
          <w:sz w:val="30"/>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ge">
                  <wp:posOffset>2372995</wp:posOffset>
                </wp:positionV>
                <wp:extent cx="5601335" cy="990600"/>
                <wp:effectExtent l="0" t="0" r="0" b="0"/>
                <wp:wrapTopAndBottom/>
                <wp:docPr id="9" name="文本框 9"/>
                <wp:cNvGraphicFramePr/>
                <a:graphic xmlns:a="http://schemas.openxmlformats.org/drawingml/2006/main">
                  <a:graphicData uri="http://schemas.microsoft.com/office/word/2010/wordprocessingShape">
                    <wps:wsp>
                      <wps:cNvSpPr txBox="1"/>
                      <wps:spPr>
                        <a:xfrm>
                          <a:off x="0" y="0"/>
                          <a:ext cx="5601335" cy="990600"/>
                        </a:xfrm>
                        <a:prstGeom prst="rect">
                          <a:avLst/>
                        </a:prstGeom>
                        <a:noFill/>
                        <a:ln>
                          <a:noFill/>
                        </a:ln>
                      </wps:spPr>
                      <wps:txbx>
                        <w:txbxContent>
                          <w:p>
                            <w:pPr>
                              <w:jc w:val="center"/>
                              <w:rPr>
                                <w:rFonts w:hint="eastAsia" w:ascii="文星简小标宋" w:eastAsia="文星简小标宋"/>
                                <w:b/>
                                <w:color w:val="FF0000"/>
                                <w:spacing w:val="20"/>
                                <w:w w:val="60"/>
                                <w:sz w:val="92"/>
                                <w:szCs w:val="92"/>
                              </w:rPr>
                            </w:pPr>
                            <w:r>
                              <w:rPr>
                                <w:rFonts w:hint="eastAsia" w:ascii="文星简小标宋" w:eastAsia="文星简小标宋"/>
                                <w:b/>
                                <w:color w:val="FF0000"/>
                                <w:spacing w:val="20"/>
                                <w:w w:val="60"/>
                                <w:sz w:val="92"/>
                                <w:szCs w:val="92"/>
                              </w:rPr>
                              <w:t>嘉兴市建筑业管理服务中心文件</w:t>
                            </w:r>
                          </w:p>
                        </w:txbxContent>
                      </wps:txbx>
                      <wps:bodyPr upright="1"/>
                    </wps:wsp>
                  </a:graphicData>
                </a:graphic>
              </wp:anchor>
            </w:drawing>
          </mc:Choice>
          <mc:Fallback>
            <w:pict>
              <v:shape id="_x0000_s1026" o:spid="_x0000_s1026" o:spt="202" type="#_x0000_t202" style="position:absolute;left:0pt;margin-left:4.25pt;margin-top:186.85pt;height:78pt;width:441.05pt;mso-position-vertical-relative:page;mso-wrap-distance-bottom:0pt;mso-wrap-distance-top:0pt;z-index:251659264;mso-width-relative:page;mso-height-relative:page;" filled="f" stroked="f" coordsize="21600,21600" o:gfxdata="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NPYCJ/XAAAACQEAAA8AAAAAAAAAAQAgAAAAOAAAAGRycy9kb3ducmV2&#10;LnhtbFBLAQIUABQAAAAIAIdO4kBetJg9rgEAAE4DAAAOAAAAAAAAAAEAIAAAADwBAABkcnMvZTJv&#10;RG9jLnhtbFBLBQYAAAAABgAGAFkBAABcBQAAAAA=&#10;">
                <v:fill on="f" focussize="0,0"/>
                <v:stroke on="f"/>
                <v:imagedata o:title=""/>
                <o:lock v:ext="edit" aspectratio="f"/>
                <v:textbox>
                  <w:txbxContent>
                    <w:p>
                      <w:pPr>
                        <w:jc w:val="center"/>
                        <w:rPr>
                          <w:rFonts w:hint="eastAsia" w:ascii="文星简小标宋" w:eastAsia="文星简小标宋"/>
                          <w:b/>
                          <w:color w:val="FF0000"/>
                          <w:spacing w:val="20"/>
                          <w:w w:val="60"/>
                          <w:sz w:val="92"/>
                          <w:szCs w:val="92"/>
                        </w:rPr>
                      </w:pPr>
                      <w:r>
                        <w:rPr>
                          <w:rFonts w:hint="eastAsia" w:ascii="文星简小标宋" w:eastAsia="文星简小标宋"/>
                          <w:b/>
                          <w:color w:val="FF0000"/>
                          <w:spacing w:val="20"/>
                          <w:w w:val="60"/>
                          <w:sz w:val="92"/>
                          <w:szCs w:val="92"/>
                        </w:rPr>
                        <w:t>嘉兴市建筑业管理服务中心文件</w:t>
                      </w:r>
                    </w:p>
                  </w:txbxContent>
                </v:textbox>
                <w10:wrap type="topAndBottom"/>
              </v:shape>
            </w:pict>
          </mc:Fallback>
        </mc:AlternateContent>
      </w:r>
      <w:r>
        <w:rPr>
          <w:rFonts w:ascii="文星简小标宋" w:eastAsia="文星简小标宋"/>
          <w:sz w:val="30"/>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ge">
                  <wp:posOffset>3536950</wp:posOffset>
                </wp:positionV>
                <wp:extent cx="5601335" cy="396240"/>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5601335" cy="396240"/>
                        </a:xfrm>
                        <a:prstGeom prst="rect">
                          <a:avLst/>
                        </a:prstGeom>
                        <a:noFill/>
                        <a:ln>
                          <a:noFill/>
                        </a:ln>
                      </wps:spPr>
                      <wps:txbx>
                        <w:txbxContent>
                          <w:p>
                            <w:pPr>
                              <w:jc w:val="center"/>
                              <w:rPr>
                                <w:sz w:val="32"/>
                                <w:szCs w:val="32"/>
                              </w:rPr>
                            </w:pPr>
                            <w:r>
                              <w:rPr>
                                <w:rFonts w:hint="eastAsia" w:ascii="仿宋_GB2312" w:eastAsia="仿宋_GB2312"/>
                                <w:sz w:val="32"/>
                                <w:szCs w:val="32"/>
                              </w:rPr>
                              <w:t>嘉建管〔</w:t>
                            </w:r>
                            <w:r>
                              <w:rPr>
                                <w:rFonts w:hint="eastAsia" w:ascii="仿宋_GB2312" w:eastAsia="仿宋_GB2312"/>
                                <w:sz w:val="32"/>
                                <w:szCs w:val="32"/>
                                <w:lang w:val="en-US" w:eastAsia="zh-CN"/>
                              </w:rPr>
                              <w:t>2026</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p>
                          <w:p>
                            <w:pPr>
                              <w:jc w:val="center"/>
                              <w:rPr>
                                <w:sz w:val="32"/>
                                <w:szCs w:val="32"/>
                              </w:rPr>
                            </w:pPr>
                          </w:p>
                        </w:txbxContent>
                      </wps:txbx>
                      <wps:bodyPr upright="1"/>
                    </wps:wsp>
                  </a:graphicData>
                </a:graphic>
              </wp:anchor>
            </w:drawing>
          </mc:Choice>
          <mc:Fallback>
            <w:pict>
              <v:shape id="_x0000_s1026" o:spid="_x0000_s1026" o:spt="202" type="#_x0000_t202" style="position:absolute;left:0pt;margin-left:4.25pt;margin-top:278.5pt;height:31.2pt;width:441.05pt;mso-position-vertical-relative:page;mso-wrap-distance-bottom:0pt;mso-wrap-distance-top:0pt;z-index:251660288;mso-width-relative:page;mso-height-relative:page;" filled="f" stroked="f" coordsize="21600,21600" o:gfxdata="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D5PR2dYAAAAJAQAADwAAAAAAAAABACAAAAA4AAAAZHJzL2Rvd25yZXYu&#10;eG1sUEsBAhQAFAAAAAgAh07iQLXC6B2uAQAATgMAAA4AAAAAAAAAAQAgAAAAOwEAAGRycy9lMm9E&#10;b2MueG1sUEsFBgAAAAAGAAYAWQEAAFsFAAAAAA==&#10;">
                <v:fill on="f" focussize="0,0"/>
                <v:stroke on="f"/>
                <v:imagedata o:title=""/>
                <o:lock v:ext="edit" aspectratio="f"/>
                <v:textbox>
                  <w:txbxContent>
                    <w:p>
                      <w:pPr>
                        <w:jc w:val="center"/>
                        <w:rPr>
                          <w:sz w:val="32"/>
                          <w:szCs w:val="32"/>
                        </w:rPr>
                      </w:pPr>
                      <w:r>
                        <w:rPr>
                          <w:rFonts w:hint="eastAsia" w:ascii="仿宋_GB2312" w:eastAsia="仿宋_GB2312"/>
                          <w:sz w:val="32"/>
                          <w:szCs w:val="32"/>
                        </w:rPr>
                        <w:t>嘉建管〔</w:t>
                      </w:r>
                      <w:r>
                        <w:rPr>
                          <w:rFonts w:hint="eastAsia" w:ascii="仿宋_GB2312" w:eastAsia="仿宋_GB2312"/>
                          <w:sz w:val="32"/>
                          <w:szCs w:val="32"/>
                          <w:lang w:val="en-US" w:eastAsia="zh-CN"/>
                        </w:rPr>
                        <w:t>2026</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p>
                    <w:p>
                      <w:pPr>
                        <w:jc w:val="center"/>
                        <w:rPr>
                          <w:sz w:val="32"/>
                          <w:szCs w:val="32"/>
                        </w:rPr>
                      </w:pPr>
                    </w:p>
                  </w:txbxContent>
                </v:textbox>
                <w10:wrap type="topAndBottom"/>
              </v:shape>
            </w:pict>
          </mc:Fallback>
        </mc:AlternateContent>
      </w:r>
      <w:r>
        <w:rPr>
          <w:rFonts w:ascii="文星简小标宋" w:eastAsia="文星简小标宋"/>
          <w:sz w:val="32"/>
          <w:szCs w:val="32"/>
        </w:rPr>
        <mc:AlternateContent>
          <mc:Choice Requires="wps">
            <w:drawing>
              <wp:anchor distT="0" distB="0" distL="114300" distR="114300" simplePos="0" relativeHeight="251661312" behindDoc="0" locked="0" layoutInCell="1" allowOverlap="1">
                <wp:simplePos x="0" y="0"/>
                <wp:positionH relativeFrom="column">
                  <wp:posOffset>141605</wp:posOffset>
                </wp:positionH>
                <wp:positionV relativeFrom="page">
                  <wp:posOffset>4060825</wp:posOffset>
                </wp:positionV>
                <wp:extent cx="5600700" cy="0"/>
                <wp:effectExtent l="0" t="19050" r="0" b="1905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15pt;margin-top:319.75pt;height:0pt;width:441pt;mso-position-vertical-relative:page;z-index:251661312;mso-width-relative:page;mso-height-relative:page;" filled="f" stroked="t" coordsize="21600,21600" o:gfxdata="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1HMz72gAAAAoBAAAPAAAAAAAAAAEA&#10;IAAAADgAAABkcnMvZG93bnJldi54bWxQSwECFAAUAAAACACHTuJA2IyrrfcBAADlAwAADgAAAAAA&#10;AAABACAAAAA/AQAAZHJzL2Uyb0RvYy54bWxQSwUGAAAAAAYABgBZAQAAqAUAAAAA&#10;">
                <v:fill on="f" focussize="0,0"/>
                <v:stroke weight="3pt" color="#FF0000" joinstyle="round"/>
                <v:imagedata o:title=""/>
                <o:lock v:ext="edit" aspectratio="f"/>
              </v:line>
            </w:pict>
          </mc:Fallback>
        </mc:AlternateConten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关于房屋建筑和市政基础设施工程项目</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招标有关工作的通知</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rPr>
        <w:t>各县（市、区）</w:t>
      </w:r>
      <w:r>
        <w:rPr>
          <w:rFonts w:hint="eastAsia" w:ascii="仿宋_GB2312" w:hAnsi="仿宋_GB2312" w:eastAsia="仿宋_GB2312" w:cs="仿宋_GB2312"/>
          <w:sz w:val="32"/>
          <w:szCs w:val="32"/>
          <w:highlight w:val="none"/>
          <w:lang w:eastAsia="zh-CN"/>
        </w:rPr>
        <w:t>住房和城乡建设</w:t>
      </w:r>
      <w:r>
        <w:rPr>
          <w:rFonts w:hint="eastAsia" w:ascii="仿宋_GB2312" w:hAnsi="仿宋_GB2312" w:eastAsia="仿宋_GB2312" w:cs="仿宋_GB2312"/>
          <w:sz w:val="32"/>
          <w:szCs w:val="32"/>
          <w:highlight w:val="none"/>
        </w:rPr>
        <w:t>局、嘉兴经济技术开发区建设交通局、嘉兴港区自然资源和规划建设局</w:t>
      </w:r>
      <w:r>
        <w:rPr>
          <w:rFonts w:hint="eastAsia" w:ascii="仿宋_GB2312" w:hAnsi="仿宋_GB2312" w:eastAsia="仿宋_GB2312" w:cs="仿宋_GB2312"/>
          <w:color w:val="auto"/>
          <w:sz w:val="32"/>
          <w:szCs w:val="32"/>
        </w:rPr>
        <w:t>，有关单位：</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为进一步落实国家、省、市关于建筑垃圾综合治理的工作部署，严格落实相关政策文件</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现就我市房屋市政工程施工</w:t>
      </w:r>
      <w:r>
        <w:rPr>
          <w:rFonts w:hint="eastAsia" w:ascii="Times New Roman" w:hAnsi="Times New Roman" w:eastAsia="仿宋_GB2312"/>
          <w:color w:val="auto"/>
          <w:sz w:val="32"/>
          <w:szCs w:val="32"/>
          <w:lang w:eastAsia="zh-CN"/>
        </w:rPr>
        <w:t>总承包</w:t>
      </w:r>
      <w:r>
        <w:rPr>
          <w:rFonts w:hint="eastAsia" w:ascii="Times New Roman" w:hAnsi="Times New Roman" w:eastAsia="仿宋_GB2312"/>
          <w:color w:val="auto"/>
          <w:sz w:val="32"/>
          <w:szCs w:val="32"/>
        </w:rPr>
        <w:t>和工程总承包招标文件中关于建筑垃圾减量化工作要求通知如下。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一、实施范围</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Times New Roman" w:hAnsi="Times New Roman" w:eastAsia="仿宋_GB2312"/>
          <w:color w:val="auto"/>
          <w:sz w:val="32"/>
          <w:szCs w:val="32"/>
        </w:rPr>
        <w:t>全市范围依法必须招标的房屋建筑和市政基础设施工程项目。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二、招标文件及合同条款</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（一）建筑垃圾减量化措施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招标项目。</w:t>
      </w:r>
      <w:r>
        <w:rPr>
          <w:rFonts w:hint="eastAsia" w:ascii="仿宋_GB2312" w:hAnsi="仿宋_GB2312" w:eastAsia="仿宋_GB2312" w:cs="仿宋_GB2312"/>
          <w:color w:val="auto"/>
          <w:sz w:val="32"/>
          <w:szCs w:val="32"/>
        </w:rPr>
        <w:t>《投标人须知前附表》第3.2.5款“投标报价的其他要求”中，增加“根据《省建设厅关于开展房屋市政工程建筑垃圾减量化专项治理行动的通知》（</w:t>
      </w:r>
      <w:bookmarkStart w:id="0" w:name="OLE_LINK2"/>
      <w:bookmarkStart w:id="1" w:name="OLE_LINK1"/>
      <w:r>
        <w:rPr>
          <w:rFonts w:hint="eastAsia" w:ascii="仿宋_GB2312" w:hAnsi="仿宋_GB2312" w:eastAsia="仿宋_GB2312" w:cs="仿宋_GB2312"/>
          <w:color w:val="auto"/>
          <w:sz w:val="32"/>
          <w:szCs w:val="32"/>
        </w:rPr>
        <w:t>浙建质安函〔2025〕366号）</w:t>
      </w:r>
      <w:bookmarkEnd w:id="0"/>
      <w:bookmarkEnd w:id="1"/>
      <w:r>
        <w:rPr>
          <w:rFonts w:hint="eastAsia" w:ascii="仿宋_GB2312" w:hAnsi="仿宋_GB2312" w:eastAsia="仿宋_GB2312" w:cs="仿宋_GB2312"/>
          <w:color w:val="auto"/>
          <w:sz w:val="32"/>
          <w:szCs w:val="32"/>
        </w:rPr>
        <w:t>要求，投标单位应对施工过程中产生的建筑垃圾进行合理的资源化再利用或现场消纳，不得随意处置，涉及费用在《施工现场建筑垃圾减量化措施费用表》中进行填报。”同时在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技术标准和要求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中，增加《施工现场建筑垃圾减量化措施费用表》。</w:t>
      </w:r>
      <w:r>
        <w:rPr>
          <w:rFonts w:hint="eastAsia" w:ascii="仿宋_GB2312" w:hAnsi="仿宋_GB2312" w:eastAsia="仿宋_GB2312" w:cs="仿宋_GB2312"/>
          <w:color w:val="auto"/>
          <w:sz w:val="32"/>
          <w:szCs w:val="32"/>
          <w:highlight w:val="none"/>
          <w:lang w:eastAsia="zh-CN"/>
        </w:rPr>
        <w:t>投标单位在分部分项和措施项目清单费用或工程总承包建筑安装工程费用计价时应综合考虑</w:t>
      </w:r>
      <w:r>
        <w:rPr>
          <w:rFonts w:hint="eastAsia" w:ascii="仿宋_GB2312" w:hAnsi="仿宋_GB2312" w:eastAsia="仿宋_GB2312" w:cs="仿宋_GB2312"/>
          <w:color w:val="auto"/>
          <w:sz w:val="32"/>
          <w:szCs w:val="32"/>
          <w:highlight w:val="none"/>
        </w:rPr>
        <w:t>施工现场建筑垃圾减量化措施</w:t>
      </w:r>
      <w:r>
        <w:rPr>
          <w:rFonts w:hint="eastAsia" w:ascii="仿宋_GB2312" w:hAnsi="仿宋_GB2312" w:eastAsia="仿宋_GB2312" w:cs="仿宋_GB2312"/>
          <w:color w:val="auto"/>
          <w:sz w:val="32"/>
          <w:szCs w:val="32"/>
          <w:highlight w:val="none"/>
          <w:lang w:eastAsia="zh-CN"/>
        </w:rPr>
        <w:t>费用。</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施工</w:t>
      </w:r>
      <w:r>
        <w:rPr>
          <w:rFonts w:hint="eastAsia" w:ascii="仿宋_GB2312" w:hAnsi="仿宋_GB2312" w:eastAsia="仿宋_GB2312" w:cs="仿宋_GB2312"/>
          <w:color w:val="auto"/>
          <w:sz w:val="32"/>
          <w:szCs w:val="32"/>
          <w:lang w:eastAsia="zh-CN"/>
        </w:rPr>
        <w:t>总承包项目。</w:t>
      </w:r>
      <w:r>
        <w:rPr>
          <w:rFonts w:hint="eastAsia" w:ascii="仿宋_GB2312" w:hAnsi="仿宋_GB2312" w:eastAsia="仿宋_GB2312" w:cs="仿宋_GB2312"/>
          <w:color w:val="auto"/>
          <w:sz w:val="32"/>
          <w:szCs w:val="32"/>
        </w:rPr>
        <w:t>《合同协议书》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签约合同价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中，增加“建筑垃圾减量化措施费”〔即：（5）建筑垃圾减量化措施费：人民币（大写）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专用条款“2发包人条款”及“3.1承包人一般义务”条款中，明确建筑垃圾规范处置的相关管理要求；“16.2.1承包人违约的情形”中，明确未按照规范处置要求承包人应当承担的违约责任。</w:t>
      </w:r>
    </w:p>
    <w:p>
      <w:pPr>
        <w:pStyle w:val="10"/>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3.工程总承包项目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《合同协议书》签约合同价中，</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rPr>
        <w:t>建筑垃圾减量化措施费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〔即：（</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）建筑垃圾减量化措施费：人民币（大写）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专用条款“2发包人条款”及“4.1承包人一般义务”条款中，明确建筑垃圾规范处置的相关管理要求；“15.2.1承包人违约的情形”中，明确未按照规范处置要求承包人应当承担的违约责任。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（二）综合利用产品应用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1.施工</w:t>
      </w:r>
      <w:r>
        <w:rPr>
          <w:rFonts w:hint="eastAsia" w:ascii="仿宋_GB2312" w:hAnsi="仿宋_GB2312" w:eastAsia="仿宋_GB2312" w:cs="仿宋_GB2312"/>
          <w:color w:val="auto"/>
          <w:sz w:val="32"/>
          <w:szCs w:val="32"/>
          <w:lang w:eastAsia="zh-CN"/>
        </w:rPr>
        <w:t>总承包项目。</w:t>
      </w:r>
      <w:r>
        <w:rPr>
          <w:rFonts w:hint="eastAsia" w:ascii="仿宋_GB2312" w:hAnsi="仿宋_GB2312" w:eastAsia="仿宋_GB2312" w:cs="仿宋_GB2312"/>
          <w:color w:val="auto"/>
          <w:sz w:val="32"/>
          <w:szCs w:val="32"/>
        </w:rPr>
        <w:t>专用条款“2 发包人”和“3.1 承包人的一般义务”中，明确发承包双方对于建筑垃圾综合利用事项各自职责，且明确建筑垃圾综合利用产品的使用范围及比例、相关管理要求；专用条款“16.2.1 承包人违约的情形”中，明确承包人未根据要求使用建筑垃圾综合利用产品应承担的违约责任。</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工程</w:t>
      </w:r>
      <w:r>
        <w:rPr>
          <w:rFonts w:hint="eastAsia" w:ascii="Times New Roman" w:hAnsi="Times New Roman" w:eastAsia="仿宋_GB2312"/>
          <w:color w:val="auto"/>
          <w:sz w:val="32"/>
          <w:szCs w:val="32"/>
        </w:rPr>
        <w:t>总承包</w:t>
      </w:r>
      <w:r>
        <w:rPr>
          <w:rFonts w:hint="eastAsia" w:ascii="Times New Roman" w:hAnsi="Times New Roman" w:eastAsia="仿宋_GB2312"/>
          <w:color w:val="auto"/>
          <w:sz w:val="32"/>
          <w:szCs w:val="32"/>
          <w:lang w:eastAsia="zh-CN"/>
        </w:rPr>
        <w:t>项目。</w:t>
      </w:r>
      <w:r>
        <w:rPr>
          <w:rFonts w:hint="eastAsia" w:ascii="Times New Roman" w:hAnsi="Times New Roman" w:eastAsia="仿宋_GB2312"/>
          <w:color w:val="auto"/>
          <w:sz w:val="32"/>
          <w:szCs w:val="32"/>
        </w:rPr>
        <w:t>合同</w:t>
      </w:r>
      <w:r>
        <w:rPr>
          <w:rFonts w:hint="eastAsia" w:ascii="仿宋_GB2312" w:hAnsi="仿宋_GB2312" w:eastAsia="仿宋_GB2312" w:cs="仿宋_GB2312"/>
          <w:color w:val="auto"/>
          <w:sz w:val="32"/>
          <w:szCs w:val="32"/>
        </w:rPr>
        <w:t>专用条款“2发包人”和“</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.1承包人一般义务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中，明确发承包双方对于建筑垃圾综合利用事项各自职责，且明确建筑垃圾综合利用产品的使用范围及比例、相关管理要求；“1</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 xml:space="preserve">.2.1承包人违约的情形”中，明确承包人未根据要求使用建筑垃圾综合利用产品应承担的违约责任。 </w:t>
      </w:r>
    </w:p>
    <w:p>
      <w:pPr>
        <w:pStyle w:val="5"/>
        <w:keepNext w:val="0"/>
        <w:keepLines w:val="0"/>
        <w:pageBreakBefore w:val="0"/>
        <w:kinsoku/>
        <w:overflowPunct/>
        <w:topLinePunct w:val="0"/>
        <w:autoSpaceDE/>
        <w:autoSpaceDN/>
        <w:bidi w:val="0"/>
        <w:adjustRightInd/>
        <w:snapToGrid/>
        <w:spacing w:before="0"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三、工作要求</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各县（市、区）招投标管理部门应督促建设单位将建筑垃圾减量化措施及综合利用产品应用要求纳入招标文件及合同文本。</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bookmarkStart w:id="2" w:name="_GoBack"/>
      <w:bookmarkEnd w:id="2"/>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各县（市、区）招投标管理部门应重点审核招标文件关于建筑垃圾处置、源头减量及资源化综合利用产品应用的管理要求内容，对不符合要求的项目，应责令建设单位退回整改。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附件：施工现场建筑垃圾减量化措施费用表</w:t>
      </w:r>
    </w:p>
    <w:p>
      <w:pPr>
        <w:pStyle w:val="20"/>
        <w:keepNext w:val="0"/>
        <w:keepLines w:val="0"/>
        <w:pageBreakBefore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p>
      <w:pPr>
        <w:pStyle w:val="20"/>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嘉兴市建筑业管理服务中心</w:t>
      </w:r>
    </w:p>
    <w:p>
      <w:pPr>
        <w:pStyle w:val="20"/>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方正仿宋_GB2312" w:hAnsi="方正仿宋_GB2312" w:eastAsia="方正仿宋_GB2312" w:cs="方正仿宋_GB2312"/>
          <w:color w:val="auto"/>
          <w:sz w:val="32"/>
          <w:szCs w:val="32"/>
          <w:lang w:val="en-US" w:eastAsia="zh-CN"/>
        </w:rPr>
      </w:pPr>
    </w:p>
    <w:tbl>
      <w:tblPr>
        <w:tblStyle w:val="12"/>
        <w:tblpPr w:leftFromText="180" w:rightFromText="180" w:vertAnchor="text" w:horzAnchor="page" w:tblpX="1744" w:tblpY="10049"/>
        <w:tblW w:w="892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2"/>
        <w:gridCol w:w="378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142" w:type="dxa"/>
            <w:tcBorders>
              <w:tl2br w:val="nil"/>
              <w:tr2bl w:val="nil"/>
            </w:tcBorders>
            <w:noWrap w:val="0"/>
            <w:tcMar>
              <w:top w:w="0" w:type="dxa"/>
              <w:left w:w="102" w:type="dxa"/>
              <w:bottom w:w="0" w:type="dxa"/>
              <w:right w:w="102" w:type="dxa"/>
            </w:tcMar>
            <w:vAlign w:val="center"/>
          </w:tcPr>
          <w:p>
            <w:pPr>
              <w:ind w:firstLine="140" w:firstLineChars="50"/>
              <w:rPr>
                <w:rFonts w:ascii="仿宋_GB2312" w:hAnsi="宋体" w:eastAsia="仿宋_GB2312"/>
                <w:sz w:val="28"/>
                <w:szCs w:val="28"/>
              </w:rPr>
            </w:pPr>
            <w:r>
              <w:rPr>
                <w:rFonts w:hint="eastAsia" w:ascii="仿宋_GB2312" w:hAnsi="宋体" w:eastAsia="仿宋_GB2312"/>
                <w:sz w:val="28"/>
                <w:szCs w:val="28"/>
              </w:rPr>
              <w:t>嘉兴市建筑业管理服务中心办公室</w:t>
            </w:r>
          </w:p>
        </w:tc>
        <w:tc>
          <w:tcPr>
            <w:tcW w:w="3780" w:type="dxa"/>
            <w:tcBorders>
              <w:tl2br w:val="nil"/>
              <w:tr2bl w:val="nil"/>
            </w:tcBorders>
            <w:noWrap w:val="0"/>
            <w:tcMar>
              <w:top w:w="0" w:type="dxa"/>
              <w:left w:w="102" w:type="dxa"/>
              <w:bottom w:w="0" w:type="dxa"/>
              <w:right w:w="102" w:type="dxa"/>
            </w:tcMar>
            <w:vAlign w:val="center"/>
          </w:tcPr>
          <w:p>
            <w:pPr>
              <w:widowControl/>
              <w:ind w:firstLine="438" w:firstLineChars="150"/>
              <w:jc w:val="left"/>
              <w:rPr>
                <w:rFonts w:ascii="仿宋_GB2312" w:hAnsi="宋体" w:eastAsia="仿宋_GB2312"/>
                <w:spacing w:val="6"/>
                <w:sz w:val="28"/>
                <w:szCs w:val="28"/>
              </w:rPr>
            </w:pPr>
            <w:r>
              <w:rPr>
                <w:rFonts w:hint="eastAsia" w:ascii="仿宋_GB2312" w:hAnsi="宋体" w:eastAsia="仿宋_GB2312"/>
                <w:spacing w:val="6"/>
                <w:sz w:val="28"/>
                <w:szCs w:val="28"/>
                <w:lang w:val="en-US" w:eastAsia="zh-CN"/>
              </w:rPr>
              <w:t>2026</w:t>
            </w:r>
            <w:r>
              <w:rPr>
                <w:rFonts w:hint="eastAsia" w:ascii="仿宋_GB2312" w:hAnsi="宋体" w:eastAsia="仿宋_GB2312"/>
                <w:spacing w:val="6"/>
                <w:sz w:val="28"/>
                <w:szCs w:val="28"/>
              </w:rPr>
              <w:t>年</w:t>
            </w:r>
            <w:r>
              <w:rPr>
                <w:rFonts w:hint="eastAsia" w:ascii="仿宋_GB2312" w:hAnsi="宋体" w:eastAsia="仿宋_GB2312"/>
                <w:spacing w:val="6"/>
                <w:sz w:val="28"/>
                <w:szCs w:val="28"/>
                <w:lang w:val="en-US" w:eastAsia="zh-CN"/>
              </w:rPr>
              <w:t>5</w:t>
            </w:r>
            <w:r>
              <w:rPr>
                <w:rFonts w:hint="eastAsia" w:ascii="仿宋_GB2312" w:hAnsi="宋体" w:eastAsia="仿宋_GB2312"/>
                <w:spacing w:val="6"/>
                <w:sz w:val="28"/>
                <w:szCs w:val="28"/>
              </w:rPr>
              <w:t>月</w:t>
            </w:r>
            <w:r>
              <w:rPr>
                <w:rFonts w:hint="eastAsia" w:ascii="仿宋_GB2312" w:hAnsi="宋体" w:eastAsia="仿宋_GB2312"/>
                <w:spacing w:val="6"/>
                <w:sz w:val="28"/>
                <w:szCs w:val="28"/>
                <w:lang w:val="en-US" w:eastAsia="zh-CN"/>
              </w:rPr>
              <w:t>18</w:t>
            </w:r>
            <w:r>
              <w:rPr>
                <w:rFonts w:hint="eastAsia" w:ascii="仿宋_GB2312" w:hAnsi="宋体" w:eastAsia="仿宋_GB2312"/>
                <w:spacing w:val="6"/>
                <w:sz w:val="28"/>
                <w:szCs w:val="28"/>
              </w:rPr>
              <w:t>日印发</w:t>
            </w:r>
          </w:p>
        </w:tc>
      </w:tr>
    </w:tbl>
    <w:p>
      <w:pPr>
        <w:pStyle w:val="20"/>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2312" w:hAnsi="方正仿宋_GB2312" w:eastAsia="方正仿宋_GB2312" w:cs="方正仿宋_GB2312"/>
          <w:color w:val="auto"/>
          <w:sz w:val="32"/>
          <w:szCs w:val="32"/>
          <w:lang w:val="en-US" w:eastAsia="zh-CN"/>
        </w:rPr>
        <w:sectPr>
          <w:footerReference r:id="rId3" w:type="default"/>
          <w:pgSz w:w="11906" w:h="16838"/>
          <w:pgMar w:top="1984" w:right="1474" w:bottom="1984" w:left="1587" w:header="720" w:footer="720"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10"/>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施工现场建筑垃圾减量化措施费用表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工程名称：</w:t>
      </w:r>
    </w:p>
    <w:tbl>
      <w:tblPr>
        <w:tblStyle w:val="12"/>
        <w:tblpPr w:leftFromText="180" w:rightFromText="180" w:vertAnchor="text" w:horzAnchor="page" w:tblpX="1478" w:tblpY="118"/>
        <w:tblOverlap w:val="never"/>
        <w:tblW w:w="14601" w:type="dxa"/>
        <w:tblInd w:w="0" w:type="dxa"/>
        <w:tblLayout w:type="autofit"/>
        <w:tblCellMar>
          <w:top w:w="0" w:type="dxa"/>
          <w:left w:w="108" w:type="dxa"/>
          <w:bottom w:w="0" w:type="dxa"/>
          <w:right w:w="108" w:type="dxa"/>
        </w:tblCellMar>
      </w:tblPr>
      <w:tblGrid>
        <w:gridCol w:w="993"/>
        <w:gridCol w:w="1984"/>
        <w:gridCol w:w="4394"/>
        <w:gridCol w:w="1276"/>
        <w:gridCol w:w="992"/>
        <w:gridCol w:w="1418"/>
        <w:gridCol w:w="1843"/>
        <w:gridCol w:w="1701"/>
      </w:tblGrid>
      <w:tr>
        <w:tblPrEx>
          <w:tblCellMar>
            <w:top w:w="0" w:type="dxa"/>
            <w:left w:w="108" w:type="dxa"/>
            <w:bottom w:w="0" w:type="dxa"/>
            <w:right w:w="108" w:type="dxa"/>
          </w:tblCellMar>
        </w:tblPrEx>
        <w:trPr>
          <w:trHeight w:val="489" w:hRule="exac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1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措施类别</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具体措施内容</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计量单位</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数量</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单价(元)</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合价(元)</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备注</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一</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组织管理类</w:t>
            </w:r>
          </w:p>
        </w:tc>
        <w:tc>
          <w:tcPr>
            <w:tcW w:w="43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Segoe UI" w:hAnsi="Segoe UI" w:cs="Segoe UI"/>
                <w:color w:val="000000"/>
                <w:kern w:val="0"/>
                <w:sz w:val="20"/>
                <w:szCs w:val="20"/>
              </w:rPr>
            </w:pPr>
            <w:r>
              <w:rPr>
                <w:rFonts w:ascii="Segoe UI" w:hAnsi="Segoe UI" w:cs="Segoe UI"/>
                <w:color w:val="000000"/>
                <w:kern w:val="0"/>
                <w:sz w:val="20"/>
                <w:szCs w:val="20"/>
              </w:rPr>
              <w:t>　</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41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70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1</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0"/>
                <w:szCs w:val="20"/>
              </w:rPr>
            </w:pPr>
            <w:r>
              <w:rPr>
                <w:rFonts w:hint="eastAsia" w:ascii="宋体" w:hAnsi="宋体" w:cs="宋体"/>
                <w:color w:val="000000"/>
                <w:kern w:val="0"/>
                <w:sz w:val="20"/>
                <w:szCs w:val="20"/>
              </w:rPr>
              <w:t>专项方案编制</w:t>
            </w:r>
          </w:p>
        </w:tc>
        <w:tc>
          <w:tcPr>
            <w:tcW w:w="43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建筑垃圾减量化专项方案编制与论证</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项</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Segoe UI" w:hAnsi="Segoe UI" w:cs="Segoe UI"/>
                <w:color w:val="000000"/>
                <w:kern w:val="0"/>
                <w:sz w:val="20"/>
                <w:szCs w:val="20"/>
              </w:rPr>
            </w:pPr>
            <w:r>
              <w:rPr>
                <w:rFonts w:ascii="Segoe UI" w:hAnsi="Segoe UI" w:cs="Segoe UI"/>
                <w:color w:val="000000"/>
                <w:kern w:val="0"/>
                <w:sz w:val="20"/>
                <w:szCs w:val="20"/>
              </w:rPr>
              <w:t>1</w:t>
            </w:r>
          </w:p>
        </w:tc>
        <w:tc>
          <w:tcPr>
            <w:tcW w:w="141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70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olor w:val="000000"/>
                <w:kern w:val="0"/>
                <w:sz w:val="20"/>
                <w:szCs w:val="20"/>
              </w:rPr>
            </w:pPr>
            <w:r>
              <w:rPr>
                <w:rFonts w:ascii="Times New Roman" w:hAnsi="Times New Roman"/>
                <w:color w:val="000000"/>
                <w:kern w:val="0"/>
                <w:sz w:val="20"/>
                <w:szCs w:val="20"/>
              </w:rPr>
              <w:t>••••••</w:t>
            </w:r>
          </w:p>
        </w:tc>
        <w:tc>
          <w:tcPr>
            <w:tcW w:w="43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0"/>
                <w:szCs w:val="20"/>
              </w:rPr>
            </w:pPr>
            <w:r>
              <w:rPr>
                <w:rFonts w:hint="eastAsia" w:ascii="宋体" w:hAnsi="宋体" w:cs="宋体"/>
                <w:color w:val="000000"/>
                <w:kern w:val="0"/>
                <w:sz w:val="20"/>
                <w:szCs w:val="20"/>
              </w:rPr>
              <w:t>　</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Segoe UI" w:hAnsi="Segoe UI" w:cs="Segoe UI"/>
                <w:color w:val="000000"/>
                <w:kern w:val="0"/>
                <w:sz w:val="20"/>
                <w:szCs w:val="20"/>
              </w:rPr>
            </w:pPr>
            <w:r>
              <w:rPr>
                <w:rFonts w:ascii="Segoe UI" w:hAnsi="Segoe UI" w:cs="Segoe UI"/>
                <w:color w:val="000000"/>
                <w:kern w:val="0"/>
                <w:sz w:val="20"/>
                <w:szCs w:val="20"/>
              </w:rPr>
              <w:t>　</w:t>
            </w:r>
          </w:p>
        </w:tc>
        <w:tc>
          <w:tcPr>
            <w:tcW w:w="141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70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二</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源头减量措施</w:t>
            </w:r>
          </w:p>
        </w:tc>
        <w:tc>
          <w:tcPr>
            <w:tcW w:w="43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Segoe UI" w:hAnsi="Segoe UI" w:cs="Segoe UI"/>
                <w:color w:val="000000"/>
                <w:kern w:val="0"/>
                <w:sz w:val="20"/>
                <w:szCs w:val="20"/>
              </w:rPr>
            </w:pPr>
            <w:r>
              <w:rPr>
                <w:rFonts w:ascii="Segoe UI" w:hAnsi="Segoe UI" w:cs="Segoe UI"/>
                <w:color w:val="000000"/>
                <w:kern w:val="0"/>
                <w:sz w:val="20"/>
                <w:szCs w:val="20"/>
              </w:rPr>
              <w:t>　</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41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70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1</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0"/>
                <w:szCs w:val="20"/>
              </w:rPr>
            </w:pPr>
            <w:r>
              <w:rPr>
                <w:rFonts w:hint="eastAsia" w:ascii="宋体" w:hAnsi="宋体" w:cs="宋体"/>
                <w:color w:val="000000"/>
                <w:kern w:val="0"/>
                <w:sz w:val="20"/>
                <w:szCs w:val="20"/>
              </w:rPr>
              <w:t>基坑支护材料</w:t>
            </w:r>
          </w:p>
        </w:tc>
        <w:tc>
          <w:tcPr>
            <w:tcW w:w="43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拉森钢板桩/SMW工法桩/</w:t>
            </w:r>
            <w:r>
              <w:rPr>
                <w:rFonts w:ascii="Times New Roman" w:hAnsi="Times New Roman"/>
                <w:color w:val="000000"/>
                <w:kern w:val="0"/>
                <w:sz w:val="20"/>
                <w:szCs w:val="20"/>
              </w:rPr>
              <w:t>••••••</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项</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Segoe UI" w:hAnsi="Segoe UI" w:cs="Segoe UI"/>
                <w:color w:val="000000"/>
                <w:kern w:val="0"/>
                <w:sz w:val="20"/>
                <w:szCs w:val="20"/>
              </w:rPr>
            </w:pPr>
            <w:r>
              <w:rPr>
                <w:rFonts w:ascii="Segoe UI" w:hAnsi="Segoe UI" w:cs="Segoe UI"/>
                <w:color w:val="000000"/>
                <w:kern w:val="0"/>
                <w:sz w:val="20"/>
                <w:szCs w:val="20"/>
              </w:rPr>
              <w:t>1</w:t>
            </w:r>
          </w:p>
        </w:tc>
        <w:tc>
          <w:tcPr>
            <w:tcW w:w="141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70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color w:val="000000"/>
                <w:kern w:val="0"/>
                <w:sz w:val="20"/>
                <w:szCs w:val="20"/>
              </w:rPr>
            </w:pPr>
            <w:r>
              <w:rPr>
                <w:rFonts w:ascii="Times New Roman" w:hAnsi="Times New Roman"/>
                <w:color w:val="000000"/>
                <w:kern w:val="0"/>
                <w:sz w:val="20"/>
                <w:szCs w:val="20"/>
              </w:rPr>
              <w:t>••••••</w:t>
            </w:r>
          </w:p>
        </w:tc>
        <w:tc>
          <w:tcPr>
            <w:tcW w:w="43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41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70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三</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回收处置利用</w:t>
            </w:r>
          </w:p>
        </w:tc>
        <w:tc>
          <w:tcPr>
            <w:tcW w:w="43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Segoe UI" w:hAnsi="Segoe UI" w:cs="Segoe UI"/>
                <w:color w:val="000000"/>
                <w:kern w:val="0"/>
                <w:sz w:val="20"/>
                <w:szCs w:val="20"/>
              </w:rPr>
            </w:pPr>
            <w:r>
              <w:rPr>
                <w:rFonts w:ascii="Segoe UI" w:hAnsi="Segoe UI" w:cs="Segoe UI"/>
                <w:color w:val="000000"/>
                <w:kern w:val="0"/>
                <w:sz w:val="20"/>
                <w:szCs w:val="20"/>
              </w:rPr>
              <w:t>　</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41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70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1</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0"/>
                <w:szCs w:val="20"/>
              </w:rPr>
            </w:pPr>
            <w:r>
              <w:rPr>
                <w:rFonts w:hint="eastAsia" w:ascii="宋体" w:hAnsi="宋体" w:cs="宋体"/>
                <w:color w:val="000000"/>
                <w:kern w:val="0"/>
                <w:sz w:val="20"/>
                <w:szCs w:val="20"/>
              </w:rPr>
              <w:t>再生产品</w:t>
            </w:r>
          </w:p>
        </w:tc>
        <w:tc>
          <w:tcPr>
            <w:tcW w:w="43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再生骨料制备（再生砖、再生砂浆、再生混凝土）</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项</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Segoe UI" w:hAnsi="Segoe UI" w:cs="Segoe UI"/>
                <w:color w:val="000000"/>
                <w:kern w:val="0"/>
                <w:sz w:val="20"/>
                <w:szCs w:val="20"/>
              </w:rPr>
            </w:pPr>
            <w:r>
              <w:rPr>
                <w:rFonts w:ascii="Segoe UI" w:hAnsi="Segoe UI" w:cs="Segoe UI"/>
                <w:color w:val="000000"/>
                <w:kern w:val="0"/>
                <w:sz w:val="20"/>
                <w:szCs w:val="20"/>
              </w:rPr>
              <w:t>1</w:t>
            </w:r>
          </w:p>
        </w:tc>
        <w:tc>
          <w:tcPr>
            <w:tcW w:w="141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70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98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0"/>
                <w:szCs w:val="20"/>
              </w:rPr>
            </w:pPr>
            <w:r>
              <w:rPr>
                <w:rFonts w:hint="eastAsia" w:ascii="宋体" w:hAnsi="宋体" w:cs="宋体"/>
                <w:color w:val="000000"/>
                <w:kern w:val="0"/>
                <w:sz w:val="20"/>
                <w:szCs w:val="20"/>
              </w:rPr>
              <w:t>••••••</w:t>
            </w:r>
          </w:p>
        </w:tc>
        <w:tc>
          <w:tcPr>
            <w:tcW w:w="43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Segoe UI" w:hAnsi="Segoe UI" w:cs="Segoe UI"/>
                <w:color w:val="000000"/>
                <w:kern w:val="0"/>
                <w:sz w:val="20"/>
                <w:szCs w:val="20"/>
              </w:rPr>
            </w:pPr>
            <w:r>
              <w:rPr>
                <w:rFonts w:ascii="Segoe UI" w:hAnsi="Segoe UI" w:cs="Segoe UI"/>
                <w:color w:val="000000"/>
                <w:kern w:val="0"/>
                <w:sz w:val="20"/>
                <w:szCs w:val="20"/>
              </w:rPr>
              <w:t>　</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41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c>
          <w:tcPr>
            <w:tcW w:w="170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color w:val="000000"/>
                <w:kern w:val="0"/>
                <w:sz w:val="20"/>
                <w:szCs w:val="20"/>
              </w:rPr>
            </w:pPr>
            <w:r>
              <w:rPr>
                <w:rFonts w:ascii="Segoe UI" w:hAnsi="Segoe UI" w:cs="Segoe UI"/>
                <w:color w:val="000000"/>
                <w:kern w:val="0"/>
                <w:sz w:val="20"/>
                <w:szCs w:val="20"/>
              </w:rPr>
              <w:t>　</w:t>
            </w:r>
          </w:p>
        </w:tc>
      </w:tr>
      <w:tr>
        <w:tblPrEx>
          <w:tblCellMar>
            <w:top w:w="0" w:type="dxa"/>
            <w:left w:w="108" w:type="dxa"/>
            <w:bottom w:w="0" w:type="dxa"/>
            <w:right w:w="108" w:type="dxa"/>
          </w:tblCellMar>
        </w:tblPrEx>
        <w:trPr>
          <w:trHeight w:val="624" w:hRule="exact"/>
        </w:trPr>
        <w:tc>
          <w:tcPr>
            <w:tcW w:w="99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Segoe UI" w:hAnsi="Segoe UI" w:cs="Segoe UI"/>
                <w:b/>
                <w:bCs/>
                <w:color w:val="000000"/>
                <w:kern w:val="0"/>
                <w:sz w:val="20"/>
                <w:szCs w:val="20"/>
              </w:rPr>
            </w:pPr>
            <w:r>
              <w:rPr>
                <w:rFonts w:ascii="Segoe UI" w:hAnsi="Segoe UI" w:cs="Segoe UI"/>
                <w:b/>
                <w:bCs/>
                <w:color w:val="000000"/>
                <w:kern w:val="0"/>
                <w:sz w:val="20"/>
                <w:szCs w:val="20"/>
              </w:rPr>
              <w:t>　</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39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84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r>
    </w:tbl>
    <w:p>
      <w:pPr>
        <w:pStyle w:val="10"/>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kern w:val="0"/>
          <w:sz w:val="24"/>
          <w:szCs w:val="24"/>
        </w:rPr>
        <w:t>注:请根据项目特征和企业自行编制</w:t>
      </w:r>
      <w:r>
        <w:rPr>
          <w:rFonts w:hint="eastAsia" w:ascii="楷体_GB2312" w:hAnsi="楷体_GB2312" w:eastAsia="楷体_GB2312" w:cs="楷体_GB2312"/>
          <w:kern w:val="0"/>
          <w:sz w:val="24"/>
          <w:szCs w:val="24"/>
          <w:lang w:eastAsia="zh-CN"/>
        </w:rPr>
        <w:t>的</w:t>
      </w:r>
      <w:r>
        <w:rPr>
          <w:rFonts w:hint="eastAsia" w:ascii="楷体_GB2312" w:hAnsi="楷体_GB2312" w:eastAsia="楷体_GB2312" w:cs="楷体_GB2312"/>
          <w:kern w:val="0"/>
          <w:sz w:val="24"/>
          <w:szCs w:val="24"/>
        </w:rPr>
        <w:t>施工现场建筑垃圾减量化专项方案综合考虑，自行填报，此表可自行调整。</w:t>
      </w:r>
    </w:p>
    <w:sectPr>
      <w:footerReference r:id="rId4" w:type="default"/>
      <w:footerReference r:id="rId5" w:type="even"/>
      <w:pgSz w:w="16838" w:h="11906" w:orient="landscape"/>
      <w:pgMar w:top="1588" w:right="1985" w:bottom="1474" w:left="1712" w:header="851" w:footer="1418"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ngsana New">
    <w:altName w:val="Noto Serif Thai"/>
    <w:panose1 w:val="02020603050405020304"/>
    <w:charset w:val="00"/>
    <w:family w:val="roman"/>
    <w:pitch w:val="default"/>
    <w:sig w:usb0="00000000" w:usb1="00000000" w:usb2="00000000" w:usb3="00000000" w:csb0="00010000" w:csb1="00000000"/>
  </w:font>
  <w:font w:name="Noto Serif Thai">
    <w:panose1 w:val="02020502060505020204"/>
    <w:charset w:val="00"/>
    <w:family w:val="auto"/>
    <w:pitch w:val="default"/>
    <w:sig w:usb0="81000063" w:usb1="00002000" w:usb2="00000000" w:usb3="00000000" w:csb0="00010000"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Verdana">
    <w:altName w:val="DejaVu Sans"/>
    <w:panose1 w:val="020B0604030504040204"/>
    <w:charset w:val="00"/>
    <w:family w:val="swiss"/>
    <w:pitch w:val="default"/>
    <w:sig w:usb0="00000000" w:usb1="00000000" w:usb2="00000000" w:usb3="00000000" w:csb0="0000019F" w:csb1="00000000"/>
  </w:font>
  <w:font w:name="文星简小标宋">
    <w:altName w:val="方正小标宋简体"/>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-257175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2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tk7G11gAAAAgBAAAPAAAAAAAAAAEAIAAA&#10;ADgAAABkcnMvZG93bnJldi54bWxQSwECFAAUAAAACACHTuJAJIJGtDECAABhBAAADgAAAAAAAAAB&#10;ACAAAAA7AQAAZHJzL2Uyb0RvYy54bWxQSwUGAAAAAAYABgBZAQAA3gU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-257175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5"/>
                              <w:sz w:val="28"/>
                            </w:rPr>
                          </w:pPr>
                          <w:r>
                            <w:rPr>
                              <w:rStyle w:val="15"/>
                              <w:sz w:val="28"/>
                            </w:rPr>
                            <w:t xml:space="preserve">— </w:t>
                          </w:r>
                          <w:r>
                            <w:rPr>
                              <w:rStyle w:val="15"/>
                              <w:sz w:val="28"/>
                            </w:rPr>
                            <w:fldChar w:fldCharType="begin"/>
                          </w:r>
                          <w:r>
                            <w:rPr>
                              <w:rStyle w:val="15"/>
                              <w:sz w:val="28"/>
                            </w:rPr>
                            <w:instrText xml:space="preserve"> PAGE  \* MERGEFORMAT </w:instrText>
                          </w:r>
                          <w:r>
                            <w:rPr>
                              <w:rStyle w:val="15"/>
                              <w:sz w:val="28"/>
                            </w:rPr>
                            <w:fldChar w:fldCharType="separate"/>
                          </w:r>
                          <w:r>
                            <w:rPr>
                              <w:rStyle w:val="15"/>
                              <w:sz w:val="28"/>
                            </w:rPr>
                            <w:t>4</w:t>
                          </w:r>
                          <w:r>
                            <w:rPr>
                              <w:rStyle w:val="15"/>
                              <w:sz w:val="28"/>
                            </w:rPr>
                            <w:fldChar w:fldCharType="end"/>
                          </w:r>
                          <w:r>
                            <w:rPr>
                              <w:rStyle w:val="15"/>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2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7ZOxtdYAAAAIAQAADwAAAAAAAAABACAA&#10;AAA4AAAAZHJzL2Rvd25yZXYueG1sUEsBAhQAFAAAAAgAh07iQOGA044yAgAAYQQAAA4AAAAAAAAA&#10;AQAgAAAAOwEAAGRycy9lMm9Eb2MueG1sUEsFBgAAAAAGAAYAWQEAAN8FAAAAAA==&#10;">
              <v:fill on="f" focussize="0,0"/>
              <v:stroke on="f" weight="0.5pt"/>
              <v:imagedata o:title=""/>
              <o:lock v:ext="edit" aspectratio="f"/>
              <v:textbox inset="0mm,0mm,0mm,0mm" style="mso-fit-shape-to-text:t;">
                <w:txbxContent>
                  <w:p>
                    <w:pPr>
                      <w:pStyle w:val="8"/>
                      <w:rPr>
                        <w:rStyle w:val="15"/>
                        <w:sz w:val="28"/>
                      </w:rPr>
                    </w:pPr>
                    <w:r>
                      <w:rPr>
                        <w:rStyle w:val="15"/>
                        <w:sz w:val="28"/>
                      </w:rPr>
                      <w:t xml:space="preserve">— </w:t>
                    </w:r>
                    <w:r>
                      <w:rPr>
                        <w:rStyle w:val="15"/>
                        <w:sz w:val="28"/>
                      </w:rPr>
                      <w:fldChar w:fldCharType="begin"/>
                    </w:r>
                    <w:r>
                      <w:rPr>
                        <w:rStyle w:val="15"/>
                        <w:sz w:val="28"/>
                      </w:rPr>
                      <w:instrText xml:space="preserve"> PAGE  \* MERGEFORMAT </w:instrText>
                    </w:r>
                    <w:r>
                      <w:rPr>
                        <w:rStyle w:val="15"/>
                        <w:sz w:val="28"/>
                      </w:rPr>
                      <w:fldChar w:fldCharType="separate"/>
                    </w:r>
                    <w:r>
                      <w:rPr>
                        <w:rStyle w:val="15"/>
                        <w:sz w:val="28"/>
                      </w:rPr>
                      <w:t>4</w:t>
                    </w:r>
                    <w:r>
                      <w:rPr>
                        <w:rStyle w:val="15"/>
                        <w:sz w:val="28"/>
                      </w:rPr>
                      <w:fldChar w:fldCharType="end"/>
                    </w:r>
                    <w:r>
                      <w:rPr>
                        <w:rStyle w:val="15"/>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C5"/>
    <w:rsid w:val="00034ED8"/>
    <w:rsid w:val="00035FA6"/>
    <w:rsid w:val="00042A40"/>
    <w:rsid w:val="000445CC"/>
    <w:rsid w:val="000464DA"/>
    <w:rsid w:val="000512A1"/>
    <w:rsid w:val="00055750"/>
    <w:rsid w:val="0005699E"/>
    <w:rsid w:val="00064A7C"/>
    <w:rsid w:val="000737D3"/>
    <w:rsid w:val="000848DB"/>
    <w:rsid w:val="0008500C"/>
    <w:rsid w:val="00091179"/>
    <w:rsid w:val="00092E58"/>
    <w:rsid w:val="00094D09"/>
    <w:rsid w:val="000A495F"/>
    <w:rsid w:val="000D13E4"/>
    <w:rsid w:val="000E6FF9"/>
    <w:rsid w:val="000E77F6"/>
    <w:rsid w:val="000F628C"/>
    <w:rsid w:val="000F7003"/>
    <w:rsid w:val="00105695"/>
    <w:rsid w:val="00106BB4"/>
    <w:rsid w:val="00115F4D"/>
    <w:rsid w:val="001168F1"/>
    <w:rsid w:val="001352BE"/>
    <w:rsid w:val="0013591E"/>
    <w:rsid w:val="00140694"/>
    <w:rsid w:val="00141EA5"/>
    <w:rsid w:val="001467B2"/>
    <w:rsid w:val="00151A46"/>
    <w:rsid w:val="00161311"/>
    <w:rsid w:val="0016478F"/>
    <w:rsid w:val="00164AAD"/>
    <w:rsid w:val="001B0C7E"/>
    <w:rsid w:val="001C74F8"/>
    <w:rsid w:val="001D16BC"/>
    <w:rsid w:val="001D276A"/>
    <w:rsid w:val="001D29A4"/>
    <w:rsid w:val="001D61C7"/>
    <w:rsid w:val="001E3C18"/>
    <w:rsid w:val="001F3EBC"/>
    <w:rsid w:val="001F7E07"/>
    <w:rsid w:val="00204AAC"/>
    <w:rsid w:val="00204EA1"/>
    <w:rsid w:val="002063A5"/>
    <w:rsid w:val="002121BE"/>
    <w:rsid w:val="00214BE1"/>
    <w:rsid w:val="00215A5F"/>
    <w:rsid w:val="00225AC5"/>
    <w:rsid w:val="0023046A"/>
    <w:rsid w:val="00233B77"/>
    <w:rsid w:val="002428D2"/>
    <w:rsid w:val="00254934"/>
    <w:rsid w:val="00257821"/>
    <w:rsid w:val="002642F2"/>
    <w:rsid w:val="00275349"/>
    <w:rsid w:val="00277E42"/>
    <w:rsid w:val="00294C67"/>
    <w:rsid w:val="002A4598"/>
    <w:rsid w:val="002A51AF"/>
    <w:rsid w:val="002B3A0B"/>
    <w:rsid w:val="002B3A70"/>
    <w:rsid w:val="002B49F2"/>
    <w:rsid w:val="002D7A99"/>
    <w:rsid w:val="002E695D"/>
    <w:rsid w:val="003036A3"/>
    <w:rsid w:val="00306DE8"/>
    <w:rsid w:val="0030722F"/>
    <w:rsid w:val="003147FB"/>
    <w:rsid w:val="00315190"/>
    <w:rsid w:val="003255AC"/>
    <w:rsid w:val="00332C4C"/>
    <w:rsid w:val="00334ACA"/>
    <w:rsid w:val="00342E42"/>
    <w:rsid w:val="003452EE"/>
    <w:rsid w:val="003628AE"/>
    <w:rsid w:val="00376F06"/>
    <w:rsid w:val="003770F6"/>
    <w:rsid w:val="003A204A"/>
    <w:rsid w:val="003C3C36"/>
    <w:rsid w:val="003F24CE"/>
    <w:rsid w:val="00403A74"/>
    <w:rsid w:val="00403DAE"/>
    <w:rsid w:val="00411E50"/>
    <w:rsid w:val="00411E93"/>
    <w:rsid w:val="00413C97"/>
    <w:rsid w:val="0043615E"/>
    <w:rsid w:val="0045677A"/>
    <w:rsid w:val="00460AEF"/>
    <w:rsid w:val="0046322C"/>
    <w:rsid w:val="004741B6"/>
    <w:rsid w:val="00480C21"/>
    <w:rsid w:val="004902DF"/>
    <w:rsid w:val="00493BE3"/>
    <w:rsid w:val="00494F7C"/>
    <w:rsid w:val="004B4C4F"/>
    <w:rsid w:val="004C3898"/>
    <w:rsid w:val="004C3D7E"/>
    <w:rsid w:val="004C7471"/>
    <w:rsid w:val="004D56D4"/>
    <w:rsid w:val="004D6C1B"/>
    <w:rsid w:val="004E53C2"/>
    <w:rsid w:val="004F7CFE"/>
    <w:rsid w:val="005037D4"/>
    <w:rsid w:val="00504D1D"/>
    <w:rsid w:val="00505B1A"/>
    <w:rsid w:val="005108BB"/>
    <w:rsid w:val="005129E1"/>
    <w:rsid w:val="00514F88"/>
    <w:rsid w:val="005155C3"/>
    <w:rsid w:val="00523A4C"/>
    <w:rsid w:val="005265A9"/>
    <w:rsid w:val="00526A40"/>
    <w:rsid w:val="00531E0A"/>
    <w:rsid w:val="005335A5"/>
    <w:rsid w:val="005375EB"/>
    <w:rsid w:val="00544970"/>
    <w:rsid w:val="00547753"/>
    <w:rsid w:val="00547A24"/>
    <w:rsid w:val="00551EAD"/>
    <w:rsid w:val="005606AF"/>
    <w:rsid w:val="005649CA"/>
    <w:rsid w:val="00564B98"/>
    <w:rsid w:val="0056758B"/>
    <w:rsid w:val="005749C7"/>
    <w:rsid w:val="005A442D"/>
    <w:rsid w:val="005C682B"/>
    <w:rsid w:val="005C79F1"/>
    <w:rsid w:val="005D7A61"/>
    <w:rsid w:val="005E019D"/>
    <w:rsid w:val="005E49D3"/>
    <w:rsid w:val="005E7231"/>
    <w:rsid w:val="005F2E09"/>
    <w:rsid w:val="005F7AAE"/>
    <w:rsid w:val="00603E12"/>
    <w:rsid w:val="00621113"/>
    <w:rsid w:val="00621F7C"/>
    <w:rsid w:val="006229AB"/>
    <w:rsid w:val="00625F3F"/>
    <w:rsid w:val="00637830"/>
    <w:rsid w:val="0065408A"/>
    <w:rsid w:val="0065480D"/>
    <w:rsid w:val="0066640D"/>
    <w:rsid w:val="00670C32"/>
    <w:rsid w:val="0067221A"/>
    <w:rsid w:val="00675C46"/>
    <w:rsid w:val="00676A96"/>
    <w:rsid w:val="0068170F"/>
    <w:rsid w:val="00687C52"/>
    <w:rsid w:val="00694FDC"/>
    <w:rsid w:val="006A35F8"/>
    <w:rsid w:val="006A4A5D"/>
    <w:rsid w:val="006A689E"/>
    <w:rsid w:val="006B145A"/>
    <w:rsid w:val="006B69D0"/>
    <w:rsid w:val="006D097E"/>
    <w:rsid w:val="006D2C2B"/>
    <w:rsid w:val="006E4118"/>
    <w:rsid w:val="006E714E"/>
    <w:rsid w:val="007051C8"/>
    <w:rsid w:val="00722534"/>
    <w:rsid w:val="007234F4"/>
    <w:rsid w:val="007370E5"/>
    <w:rsid w:val="007539BB"/>
    <w:rsid w:val="00762C67"/>
    <w:rsid w:val="00765FF8"/>
    <w:rsid w:val="00773352"/>
    <w:rsid w:val="0078463D"/>
    <w:rsid w:val="00795DCB"/>
    <w:rsid w:val="00797F7A"/>
    <w:rsid w:val="007A2808"/>
    <w:rsid w:val="007A3A19"/>
    <w:rsid w:val="007A4F0E"/>
    <w:rsid w:val="007B493D"/>
    <w:rsid w:val="007D4AC8"/>
    <w:rsid w:val="007E2AC0"/>
    <w:rsid w:val="007E4F7A"/>
    <w:rsid w:val="007E4FAA"/>
    <w:rsid w:val="007E6F1E"/>
    <w:rsid w:val="007E747D"/>
    <w:rsid w:val="00800C5E"/>
    <w:rsid w:val="00800E82"/>
    <w:rsid w:val="0080545A"/>
    <w:rsid w:val="00805DE5"/>
    <w:rsid w:val="008268B0"/>
    <w:rsid w:val="008311F3"/>
    <w:rsid w:val="00831CB2"/>
    <w:rsid w:val="00836802"/>
    <w:rsid w:val="00837D55"/>
    <w:rsid w:val="00845B27"/>
    <w:rsid w:val="00860BAD"/>
    <w:rsid w:val="00864D12"/>
    <w:rsid w:val="00866019"/>
    <w:rsid w:val="00885855"/>
    <w:rsid w:val="008956DF"/>
    <w:rsid w:val="00895C86"/>
    <w:rsid w:val="008B117B"/>
    <w:rsid w:val="008C14B4"/>
    <w:rsid w:val="008E592B"/>
    <w:rsid w:val="008F176F"/>
    <w:rsid w:val="008F2937"/>
    <w:rsid w:val="00905087"/>
    <w:rsid w:val="00913D34"/>
    <w:rsid w:val="00922D02"/>
    <w:rsid w:val="009235B5"/>
    <w:rsid w:val="00923AE1"/>
    <w:rsid w:val="009274C6"/>
    <w:rsid w:val="009354B4"/>
    <w:rsid w:val="009466AE"/>
    <w:rsid w:val="00952C56"/>
    <w:rsid w:val="00955171"/>
    <w:rsid w:val="009647F9"/>
    <w:rsid w:val="00973B34"/>
    <w:rsid w:val="0098442C"/>
    <w:rsid w:val="0098539B"/>
    <w:rsid w:val="00995B71"/>
    <w:rsid w:val="009A56F6"/>
    <w:rsid w:val="009A5C06"/>
    <w:rsid w:val="009B08E0"/>
    <w:rsid w:val="009D3F34"/>
    <w:rsid w:val="009E0ABD"/>
    <w:rsid w:val="009F0586"/>
    <w:rsid w:val="00A22394"/>
    <w:rsid w:val="00A328CD"/>
    <w:rsid w:val="00A33168"/>
    <w:rsid w:val="00A4238E"/>
    <w:rsid w:val="00A5273C"/>
    <w:rsid w:val="00A66F1B"/>
    <w:rsid w:val="00A70C1C"/>
    <w:rsid w:val="00A73025"/>
    <w:rsid w:val="00A768F7"/>
    <w:rsid w:val="00A873BF"/>
    <w:rsid w:val="00AA44A9"/>
    <w:rsid w:val="00AB28FD"/>
    <w:rsid w:val="00AB3ED9"/>
    <w:rsid w:val="00AB56EB"/>
    <w:rsid w:val="00AC08C9"/>
    <w:rsid w:val="00AC494B"/>
    <w:rsid w:val="00AC4D8A"/>
    <w:rsid w:val="00AC54D3"/>
    <w:rsid w:val="00AD0629"/>
    <w:rsid w:val="00AD39E7"/>
    <w:rsid w:val="00AD6ADE"/>
    <w:rsid w:val="00AD7320"/>
    <w:rsid w:val="00AE364C"/>
    <w:rsid w:val="00AE3B0A"/>
    <w:rsid w:val="00AF6E45"/>
    <w:rsid w:val="00B11851"/>
    <w:rsid w:val="00B131B0"/>
    <w:rsid w:val="00B25140"/>
    <w:rsid w:val="00B63E09"/>
    <w:rsid w:val="00B73153"/>
    <w:rsid w:val="00BA3570"/>
    <w:rsid w:val="00BA577F"/>
    <w:rsid w:val="00BA6812"/>
    <w:rsid w:val="00BB122D"/>
    <w:rsid w:val="00BB2706"/>
    <w:rsid w:val="00BB2E3E"/>
    <w:rsid w:val="00BD0BCE"/>
    <w:rsid w:val="00BD1A55"/>
    <w:rsid w:val="00BD2A07"/>
    <w:rsid w:val="00BE056F"/>
    <w:rsid w:val="00BE1A49"/>
    <w:rsid w:val="00BE41EA"/>
    <w:rsid w:val="00BE4433"/>
    <w:rsid w:val="00C0466A"/>
    <w:rsid w:val="00C10AAC"/>
    <w:rsid w:val="00C1134C"/>
    <w:rsid w:val="00C149A1"/>
    <w:rsid w:val="00C23BE4"/>
    <w:rsid w:val="00C30BE4"/>
    <w:rsid w:val="00C435E9"/>
    <w:rsid w:val="00C543BA"/>
    <w:rsid w:val="00C57B35"/>
    <w:rsid w:val="00C661A9"/>
    <w:rsid w:val="00C77D55"/>
    <w:rsid w:val="00C82FC9"/>
    <w:rsid w:val="00C859F7"/>
    <w:rsid w:val="00C9236A"/>
    <w:rsid w:val="00C937C2"/>
    <w:rsid w:val="00CA7B16"/>
    <w:rsid w:val="00CB2B1A"/>
    <w:rsid w:val="00CB2FA9"/>
    <w:rsid w:val="00CB5DB1"/>
    <w:rsid w:val="00CB6B47"/>
    <w:rsid w:val="00CD0F25"/>
    <w:rsid w:val="00CD4EF5"/>
    <w:rsid w:val="00CD64E0"/>
    <w:rsid w:val="00CD66C5"/>
    <w:rsid w:val="00CE0578"/>
    <w:rsid w:val="00CE2C21"/>
    <w:rsid w:val="00CE5CBF"/>
    <w:rsid w:val="00CE6C01"/>
    <w:rsid w:val="00CE7083"/>
    <w:rsid w:val="00CF22FB"/>
    <w:rsid w:val="00CF5E54"/>
    <w:rsid w:val="00D14174"/>
    <w:rsid w:val="00D1477E"/>
    <w:rsid w:val="00D1783B"/>
    <w:rsid w:val="00D3761F"/>
    <w:rsid w:val="00D516D0"/>
    <w:rsid w:val="00D52572"/>
    <w:rsid w:val="00D5479F"/>
    <w:rsid w:val="00D55C34"/>
    <w:rsid w:val="00D65F5A"/>
    <w:rsid w:val="00D778B7"/>
    <w:rsid w:val="00D81689"/>
    <w:rsid w:val="00D92691"/>
    <w:rsid w:val="00D96FC0"/>
    <w:rsid w:val="00DA149E"/>
    <w:rsid w:val="00DA2D33"/>
    <w:rsid w:val="00DB0229"/>
    <w:rsid w:val="00DD3EDC"/>
    <w:rsid w:val="00DE6543"/>
    <w:rsid w:val="00E0211F"/>
    <w:rsid w:val="00E07489"/>
    <w:rsid w:val="00E16522"/>
    <w:rsid w:val="00E16C04"/>
    <w:rsid w:val="00E22366"/>
    <w:rsid w:val="00E37B9E"/>
    <w:rsid w:val="00E40C48"/>
    <w:rsid w:val="00E47105"/>
    <w:rsid w:val="00E60161"/>
    <w:rsid w:val="00E73844"/>
    <w:rsid w:val="00E912A6"/>
    <w:rsid w:val="00EB4CEA"/>
    <w:rsid w:val="00EB5181"/>
    <w:rsid w:val="00ED6BD9"/>
    <w:rsid w:val="00EE7C95"/>
    <w:rsid w:val="00EF290F"/>
    <w:rsid w:val="00EF4F3A"/>
    <w:rsid w:val="00F01F4D"/>
    <w:rsid w:val="00F05C26"/>
    <w:rsid w:val="00F257EE"/>
    <w:rsid w:val="00F305AA"/>
    <w:rsid w:val="00F4521F"/>
    <w:rsid w:val="00F53E77"/>
    <w:rsid w:val="00F716B5"/>
    <w:rsid w:val="00F72D43"/>
    <w:rsid w:val="00F72E02"/>
    <w:rsid w:val="00F878AE"/>
    <w:rsid w:val="00F90244"/>
    <w:rsid w:val="00FA26EB"/>
    <w:rsid w:val="00FA4FB1"/>
    <w:rsid w:val="00FB3E52"/>
    <w:rsid w:val="00FB3E60"/>
    <w:rsid w:val="00FE6368"/>
    <w:rsid w:val="00FF0D45"/>
    <w:rsid w:val="00FF239E"/>
    <w:rsid w:val="119F1158"/>
    <w:rsid w:val="1ABF1A23"/>
    <w:rsid w:val="37D67485"/>
    <w:rsid w:val="37DC138E"/>
    <w:rsid w:val="3F6FB600"/>
    <w:rsid w:val="477F2813"/>
    <w:rsid w:val="47EFFFF8"/>
    <w:rsid w:val="4C325C6B"/>
    <w:rsid w:val="5D1721BC"/>
    <w:rsid w:val="5D56398A"/>
    <w:rsid w:val="5F7F7198"/>
    <w:rsid w:val="69F4E24B"/>
    <w:rsid w:val="7BAD8765"/>
    <w:rsid w:val="7BFF61A3"/>
    <w:rsid w:val="7EDC589D"/>
    <w:rsid w:val="7EF73DCC"/>
    <w:rsid w:val="ABFF4281"/>
    <w:rsid w:val="BAFDA378"/>
    <w:rsid w:val="BB0E5D33"/>
    <w:rsid w:val="BBBE55A1"/>
    <w:rsid w:val="F4F7316A"/>
    <w:rsid w:val="FB3BB0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7"/>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5"/>
    <w:basedOn w:val="1"/>
    <w:next w:val="1"/>
    <w:qFormat/>
    <w:uiPriority w:val="0"/>
    <w:pPr>
      <w:keepNext/>
      <w:keepLines/>
      <w:spacing w:before="280" w:after="290" w:line="376" w:lineRule="auto"/>
      <w:outlineLvl w:val="4"/>
    </w:pPr>
    <w:rPr>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600" w:lineRule="exact"/>
      <w:jc w:val="center"/>
    </w:pPr>
    <w:rPr>
      <w:rFonts w:ascii="宋体" w:hAnsi="宋体" w:cs="Angsana New"/>
      <w:b/>
      <w:sz w:val="44"/>
      <w:szCs w:val="32"/>
    </w:rPr>
  </w:style>
  <w:style w:type="paragraph" w:styleId="5">
    <w:name w:val="Body Text First Indent"/>
    <w:basedOn w:val="4"/>
    <w:next w:val="1"/>
    <w:qFormat/>
    <w:uiPriority w:val="0"/>
    <w:pPr>
      <w:ind w:firstLine="420" w:firstLineChars="1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Angsana New"/>
      <w:sz w:val="18"/>
      <w:szCs w:val="18"/>
    </w:rPr>
  </w:style>
  <w:style w:type="paragraph" w:styleId="10">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 Char Char"/>
    <w:basedOn w:val="14"/>
    <w:link w:val="2"/>
    <w:qFormat/>
    <w:locked/>
    <w:uiPriority w:val="0"/>
    <w:rPr>
      <w:rFonts w:ascii="宋体" w:hAnsi="宋体" w:eastAsia="宋体" w:cs="宋体"/>
      <w:b/>
      <w:bCs/>
      <w:kern w:val="36"/>
      <w:sz w:val="48"/>
      <w:szCs w:val="48"/>
      <w:lang w:val="en-US" w:eastAsia="zh-CN" w:bidi="ar-SA"/>
    </w:rPr>
  </w:style>
  <w:style w:type="paragraph" w:customStyle="1" w:styleId="18">
    <w:name w:val="Char"/>
    <w:basedOn w:val="3"/>
    <w:qFormat/>
    <w:uiPriority w:val="0"/>
    <w:pPr>
      <w:widowControl/>
      <w:numPr>
        <w:ilvl w:val="4"/>
        <w:numId w:val="0"/>
      </w:numPr>
      <w:tabs>
        <w:tab w:val="left" w:pos="1008"/>
      </w:tabs>
      <w:spacing w:after="160" w:line="240" w:lineRule="exact"/>
      <w:ind w:left="1008" w:hanging="1008"/>
      <w:jc w:val="left"/>
    </w:pPr>
    <w:rPr>
      <w:rFonts w:ascii="Verdana" w:hAnsi="Verdana"/>
      <w:b w:val="0"/>
      <w:kern w:val="0"/>
      <w:sz w:val="20"/>
      <w:szCs w:val="20"/>
      <w:lang w:eastAsia="en-US"/>
    </w:rPr>
  </w:style>
  <w:style w:type="paragraph" w:customStyle="1" w:styleId="19">
    <w:name w:val="List Paragraph"/>
    <w:basedOn w:val="1"/>
    <w:qFormat/>
    <w:uiPriority w:val="0"/>
    <w:pPr>
      <w:ind w:firstLine="420" w:firstLineChars="200"/>
    </w:pPr>
    <w:rPr>
      <w:szCs w:val="20"/>
    </w:r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Words>
  <Characters>225</Characters>
  <Lines>1</Lines>
  <Paragraphs>1</Paragraphs>
  <TotalTime>1</TotalTime>
  <ScaleCrop>false</ScaleCrop>
  <LinksUpToDate>false</LinksUpToDate>
  <CharactersWithSpaces>263</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2019-09-29T17:20:00Z</dcterms:created>
  <dc:creator>user</dc:creator>
  <cp:lastModifiedBy>唐哲人</cp:lastModifiedBy>
  <cp:lastPrinted>2026-05-19T17:27:00Z</cp:lastPrinted>
  <dcterms:modified xsi:type="dcterms:W3CDTF">2026-05-19T09:49:20Z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9FF9DA305218F8A5A0C10B6AF35881E5</vt:lpwstr>
  </property>
</Properties>
</file>