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firstLineChars="200"/>
        <w:jc w:val="center"/>
        <w:rPr>
          <w:rFonts w:ascii="黑体" w:hAnsi="黑体" w:eastAsia="黑体"/>
          <w:sz w:val="36"/>
          <w:szCs w:val="36"/>
        </w:rPr>
      </w:pPr>
      <w:r>
        <w:rPr>
          <w:rFonts w:hint="eastAsia" w:ascii="黑体" w:hAnsi="黑体" w:eastAsia="黑体"/>
          <w:sz w:val="36"/>
          <w:szCs w:val="36"/>
        </w:rPr>
        <w:t>关于印发《浙江省建设工程计价依据（2018版）综合解释及动态调整补充》（</w:t>
      </w:r>
      <w:r>
        <w:rPr>
          <w:rFonts w:hint="eastAsia" w:ascii="黑体" w:hAnsi="黑体" w:eastAsia="黑体"/>
          <w:sz w:val="36"/>
          <w:szCs w:val="36"/>
          <w:lang w:val="en-US" w:eastAsia="zh-CN"/>
        </w:rPr>
        <w:t>五</w:t>
      </w:r>
      <w:r>
        <w:rPr>
          <w:rFonts w:hint="eastAsia" w:ascii="黑体" w:hAnsi="黑体" w:eastAsia="黑体"/>
          <w:sz w:val="36"/>
          <w:szCs w:val="36"/>
        </w:rPr>
        <w:t>）的通知</w:t>
      </w:r>
    </w:p>
    <w:p>
      <w:pPr>
        <w:spacing w:line="360" w:lineRule="auto"/>
        <w:ind w:firstLine="480" w:firstLineChars="200"/>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各市造价管理机构及有关单位：</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为深入贯彻执行我省2018版计价依据，规范建设市场计价行为，妥善解决计价依据应用过程中有关问题，经研究，现将浙江省建设工程计价依据（2018版）相关问题的综合解释、部分定额的调整和补充印发给你们。动态调整和补充的定额项目自发布之日起执行。</w:t>
      </w:r>
    </w:p>
    <w:p>
      <w:pPr>
        <w:spacing w:line="360" w:lineRule="auto"/>
        <w:ind w:firstLine="480" w:firstLineChars="200"/>
        <w:rPr>
          <w:rFonts w:ascii="黑体" w:hAnsi="黑体" w:eastAsia="黑体"/>
          <w:sz w:val="24"/>
          <w:szCs w:val="24"/>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 xml:space="preserve">                                 浙江省建设工程造价管理总站</w:t>
      </w:r>
    </w:p>
    <w:p>
      <w:pPr>
        <w:spacing w:line="360" w:lineRule="auto"/>
        <w:ind w:firstLine="480" w:firstLineChars="200"/>
        <w:rPr>
          <w:rFonts w:ascii="黑体" w:hAnsi="黑体" w:eastAsia="黑体"/>
          <w:sz w:val="24"/>
          <w:szCs w:val="24"/>
        </w:rPr>
      </w:pPr>
      <w:r>
        <w:rPr>
          <w:rFonts w:hint="eastAsia" w:ascii="黑体" w:hAnsi="黑体" w:eastAsia="黑体"/>
          <w:sz w:val="24"/>
          <w:szCs w:val="24"/>
        </w:rPr>
        <w:t xml:space="preserve">                                      </w:t>
      </w:r>
      <w:r>
        <w:rPr>
          <w:rFonts w:ascii="黑体" w:hAnsi="黑体" w:eastAsia="黑体"/>
          <w:sz w:val="24"/>
          <w:szCs w:val="24"/>
        </w:rPr>
        <w:t>202</w:t>
      </w:r>
      <w:r>
        <w:rPr>
          <w:rFonts w:hint="eastAsia" w:ascii="黑体" w:hAnsi="黑体" w:eastAsia="黑体"/>
          <w:sz w:val="24"/>
          <w:szCs w:val="24"/>
          <w:lang w:val="en-US" w:eastAsia="zh-CN"/>
        </w:rPr>
        <w:t>3</w:t>
      </w:r>
      <w:r>
        <w:rPr>
          <w:rFonts w:ascii="黑体" w:hAnsi="黑体" w:eastAsia="黑体"/>
          <w:sz w:val="24"/>
          <w:szCs w:val="24"/>
        </w:rPr>
        <w:t>年</w:t>
      </w:r>
      <w:r>
        <w:rPr>
          <w:rFonts w:hint="eastAsia" w:ascii="黑体" w:hAnsi="黑体" w:eastAsia="黑体"/>
          <w:sz w:val="24"/>
          <w:szCs w:val="24"/>
          <w:lang w:val="en-US" w:eastAsia="zh-CN"/>
        </w:rPr>
        <w:t>10</w:t>
      </w:r>
      <w:r>
        <w:rPr>
          <w:rFonts w:ascii="黑体" w:hAnsi="黑体" w:eastAsia="黑体"/>
          <w:sz w:val="24"/>
          <w:szCs w:val="24"/>
        </w:rPr>
        <w:t>月</w:t>
      </w:r>
      <w:r>
        <w:rPr>
          <w:rFonts w:hint="eastAsia" w:ascii="黑体" w:hAnsi="黑体" w:eastAsia="黑体"/>
          <w:sz w:val="24"/>
          <w:szCs w:val="24"/>
          <w:lang w:val="en-US" w:eastAsia="zh-CN"/>
        </w:rPr>
        <w:t>24</w:t>
      </w:r>
      <w:r>
        <w:rPr>
          <w:rFonts w:ascii="黑体" w:hAnsi="黑体" w:eastAsia="黑体"/>
          <w:sz w:val="24"/>
          <w:szCs w:val="24"/>
        </w:rPr>
        <w:t>日</w:t>
      </w:r>
    </w:p>
    <w:p>
      <w:pPr>
        <w:spacing w:line="360" w:lineRule="auto"/>
        <w:ind w:firstLine="480" w:firstLineChars="200"/>
        <w:rPr>
          <w:rFonts w:ascii="黑体" w:hAnsi="黑体" w:eastAsia="黑体"/>
          <w:sz w:val="24"/>
          <w:szCs w:val="24"/>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附件</w:t>
      </w:r>
      <w:r>
        <w:fldChar w:fldCharType="begin"/>
      </w:r>
      <w:r>
        <w:instrText xml:space="preserve"> HYPERLINK "http://www.zjzj.net/uploads/fujian/20120316zhjs.doc" </w:instrText>
      </w:r>
      <w:r>
        <w:fldChar w:fldCharType="separate"/>
      </w:r>
      <w:r>
        <w:rPr>
          <w:rFonts w:ascii="黑体" w:hAnsi="黑体" w:eastAsia="黑体"/>
          <w:sz w:val="24"/>
          <w:szCs w:val="24"/>
        </w:rPr>
        <w:t>：</w:t>
      </w:r>
      <w:r>
        <w:rPr>
          <w:rFonts w:hint="eastAsia" w:ascii="黑体" w:hAnsi="黑体" w:eastAsia="黑体"/>
          <w:sz w:val="24"/>
          <w:szCs w:val="24"/>
        </w:rPr>
        <w:t>《浙江省建设工程计价依据（2018版）综合解释及动态调整补充》</w:t>
      </w:r>
      <w:r>
        <w:rPr>
          <w:rFonts w:hint="eastAsia" w:ascii="黑体" w:hAnsi="黑体" w:eastAsia="黑体"/>
          <w:sz w:val="24"/>
          <w:szCs w:val="24"/>
        </w:rPr>
        <w:fldChar w:fldCharType="end"/>
      </w:r>
      <w:r>
        <w:rPr>
          <w:rFonts w:hint="eastAsia" w:ascii="黑体" w:hAnsi="黑体" w:eastAsia="黑体"/>
          <w:sz w:val="24"/>
          <w:szCs w:val="24"/>
        </w:rPr>
        <w:t>（</w:t>
      </w:r>
      <w:r>
        <w:rPr>
          <w:rFonts w:hint="eastAsia" w:ascii="黑体" w:hAnsi="黑体" w:eastAsia="黑体"/>
          <w:sz w:val="24"/>
          <w:szCs w:val="24"/>
          <w:lang w:val="en-US" w:eastAsia="zh-CN"/>
        </w:rPr>
        <w:t>五</w:t>
      </w:r>
      <w:r>
        <w:rPr>
          <w:rFonts w:hint="eastAsia" w:ascii="黑体" w:hAnsi="黑体" w:eastAsia="黑体"/>
          <w:sz w:val="24"/>
          <w:szCs w:val="24"/>
        </w:rPr>
        <w:t>）</w:t>
      </w:r>
    </w:p>
    <w:p>
      <w:pPr>
        <w:rPr>
          <w:rFonts w:ascii="黑体" w:hAnsi="黑体" w:eastAsia="黑体"/>
          <w:sz w:val="24"/>
          <w:szCs w:val="24"/>
        </w:rPr>
      </w:pPr>
      <w:r>
        <w:rPr>
          <w:rFonts w:ascii="黑体" w:hAnsi="黑体" w:eastAsia="黑体"/>
          <w:sz w:val="24"/>
          <w:szCs w:val="24"/>
        </w:rPr>
        <w:br w:type="page"/>
      </w:r>
    </w:p>
    <w:p>
      <w:pPr>
        <w:jc w:val="center"/>
        <w:rPr>
          <w:rFonts w:ascii="黑体" w:hAnsi="黑体" w:eastAsia="黑体"/>
          <w:b/>
          <w:bCs/>
          <w:sz w:val="32"/>
          <w:szCs w:val="32"/>
        </w:rPr>
      </w:pPr>
      <w:r>
        <w:rPr>
          <w:rFonts w:ascii="黑体" w:hAnsi="黑体" w:eastAsia="黑体"/>
          <w:b/>
          <w:bCs/>
          <w:sz w:val="32"/>
          <w:szCs w:val="32"/>
        </w:rPr>
        <w:t>《浙江省建设工程计价依据（</w:t>
      </w:r>
      <w:r>
        <w:rPr>
          <w:rFonts w:hint="eastAsia" w:ascii="黑体" w:hAnsi="黑体" w:eastAsia="黑体"/>
          <w:b/>
          <w:bCs/>
          <w:sz w:val="32"/>
          <w:szCs w:val="32"/>
        </w:rPr>
        <w:t>2</w:t>
      </w:r>
      <w:r>
        <w:rPr>
          <w:rFonts w:ascii="黑体" w:hAnsi="黑体" w:eastAsia="黑体"/>
          <w:b/>
          <w:bCs/>
          <w:sz w:val="32"/>
          <w:szCs w:val="32"/>
        </w:rPr>
        <w:t>018版）综合解释</w:t>
      </w:r>
      <w:r>
        <w:rPr>
          <w:rFonts w:hint="eastAsia" w:ascii="黑体" w:hAnsi="黑体" w:eastAsia="黑体"/>
          <w:b/>
          <w:bCs/>
          <w:sz w:val="32"/>
          <w:szCs w:val="32"/>
        </w:rPr>
        <w:t>及动态调整补充</w:t>
      </w:r>
      <w:r>
        <w:rPr>
          <w:rFonts w:ascii="黑体" w:hAnsi="黑体" w:eastAsia="黑体"/>
          <w:b/>
          <w:bCs/>
          <w:sz w:val="32"/>
          <w:szCs w:val="32"/>
        </w:rPr>
        <w:t>》（</w:t>
      </w:r>
      <w:r>
        <w:rPr>
          <w:rFonts w:hint="eastAsia" w:ascii="黑体" w:hAnsi="黑体" w:eastAsia="黑体"/>
          <w:b/>
          <w:bCs/>
          <w:sz w:val="32"/>
          <w:szCs w:val="32"/>
          <w:lang w:val="en-US" w:eastAsia="zh-CN"/>
        </w:rPr>
        <w:t>五</w:t>
      </w:r>
      <w:r>
        <w:rPr>
          <w:rFonts w:ascii="黑体" w:hAnsi="黑体" w:eastAsia="黑体"/>
          <w:b/>
          <w:bCs/>
          <w:sz w:val="32"/>
          <w:szCs w:val="32"/>
        </w:rPr>
        <w:t>）</w:t>
      </w:r>
    </w:p>
    <w:p>
      <w:pPr>
        <w:rPr>
          <w:rFonts w:ascii="仿宋" w:hAnsi="仿宋" w:eastAsia="仿宋"/>
          <w:sz w:val="28"/>
          <w:szCs w:val="28"/>
        </w:rPr>
      </w:pPr>
    </w:p>
    <w:p>
      <w:pPr>
        <w:ind w:firstLine="560" w:firstLineChars="200"/>
        <w:rPr>
          <w:rFonts w:ascii="黑体" w:hAnsi="黑体" w:eastAsia="黑体"/>
          <w:sz w:val="28"/>
          <w:szCs w:val="28"/>
        </w:rPr>
      </w:pPr>
      <w:r>
        <w:rPr>
          <w:rFonts w:hint="eastAsia" w:ascii="黑体" w:hAnsi="黑体" w:eastAsia="黑体"/>
          <w:sz w:val="28"/>
          <w:szCs w:val="28"/>
          <w:lang w:val="en-US" w:eastAsia="zh-CN"/>
        </w:rPr>
        <w:t>一</w:t>
      </w:r>
      <w:r>
        <w:rPr>
          <w:rFonts w:hint="eastAsia" w:ascii="黑体" w:hAnsi="黑体" w:eastAsia="黑体"/>
          <w:sz w:val="28"/>
          <w:szCs w:val="28"/>
        </w:rPr>
        <w:t>、《浙江省房屋建筑与装饰工程预算定额》（2018 版）</w:t>
      </w:r>
    </w:p>
    <w:p>
      <w:pPr>
        <w:ind w:firstLine="560" w:firstLineChars="200"/>
        <w:rPr>
          <w:rFonts w:hint="eastAsia" w:ascii="仿宋" w:hAnsi="仿宋" w:eastAsia="仿宋"/>
          <w:sz w:val="28"/>
          <w:szCs w:val="28"/>
        </w:rPr>
      </w:pPr>
      <w:r>
        <w:rPr>
          <w:rFonts w:hint="eastAsia" w:ascii="仿宋" w:hAnsi="仿宋" w:eastAsia="仿宋"/>
          <w:sz w:val="28"/>
          <w:szCs w:val="28"/>
        </w:rPr>
        <w:t>（一）综合解释（</w:t>
      </w:r>
      <w:r>
        <w:rPr>
          <w:rFonts w:hint="eastAsia" w:ascii="仿宋" w:hAnsi="仿宋" w:eastAsia="仿宋"/>
          <w:sz w:val="28"/>
          <w:szCs w:val="28"/>
          <w:lang w:val="en-US" w:eastAsia="zh-CN"/>
        </w:rPr>
        <w:t>六</w:t>
      </w:r>
      <w:r>
        <w:rPr>
          <w:rFonts w:hint="eastAsia" w:ascii="仿宋" w:hAnsi="仿宋" w:eastAsia="仿宋"/>
          <w:sz w:val="28"/>
          <w:szCs w:val="28"/>
        </w:rPr>
        <w:t>）</w:t>
      </w:r>
    </w:p>
    <w:p>
      <w:pPr>
        <w:ind w:firstLine="560" w:firstLineChars="200"/>
        <w:rPr>
          <w:rFonts w:hint="eastAsia" w:ascii="黑体" w:hAnsi="黑体" w:eastAsia="黑体"/>
          <w:sz w:val="28"/>
          <w:szCs w:val="28"/>
          <w:lang w:val="en-US" w:eastAsia="zh-CN"/>
        </w:rPr>
      </w:pPr>
      <w:r>
        <w:rPr>
          <w:rFonts w:hint="eastAsia" w:ascii="黑体" w:hAnsi="黑体" w:eastAsia="黑体"/>
          <w:sz w:val="28"/>
          <w:szCs w:val="28"/>
          <w:lang w:val="en-US" w:eastAsia="zh-CN"/>
        </w:rPr>
        <w:t>1.第六章“金属结构工程”说明六、13.“......如发生套用现场拼装平台摊销定额项目”，如何判断是否需要分段制作钢构件？</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答：设计文件或施工组织设计文件有明确要求钢构件需要分段制作并运输至施工现场；如设计文件或施工组织设计文件无明确要求时，设计构件的截面直径或者大边尺寸大于2.2m或长度大于13.0m时，</w:t>
      </w:r>
      <w:r>
        <w:rPr>
          <w:rFonts w:hint="eastAsia" w:ascii="仿宋" w:hAnsi="仿宋" w:eastAsia="仿宋"/>
          <w:sz w:val="28"/>
          <w:szCs w:val="28"/>
          <w:lang w:val="en-US" w:eastAsia="zh-CN"/>
        </w:rPr>
        <w:t>按分段制作考虑</w:t>
      </w:r>
      <w:r>
        <w:rPr>
          <w:rFonts w:hint="eastAsia" w:ascii="仿宋" w:hAnsi="仿宋" w:eastAsia="仿宋"/>
          <w:sz w:val="28"/>
          <w:szCs w:val="28"/>
        </w:rPr>
        <w:t>。</w:t>
      </w:r>
    </w:p>
    <w:p>
      <w:pPr>
        <w:ind w:firstLine="560" w:firstLineChars="200"/>
        <w:rPr>
          <w:rFonts w:hint="eastAsia" w:ascii="黑体" w:hAnsi="黑体" w:eastAsia="黑体"/>
          <w:sz w:val="28"/>
          <w:szCs w:val="28"/>
          <w:lang w:val="en-US" w:eastAsia="zh-CN"/>
        </w:rPr>
      </w:pPr>
      <w:r>
        <w:rPr>
          <w:rFonts w:hint="eastAsia" w:ascii="黑体" w:hAnsi="黑体" w:eastAsia="黑体"/>
          <w:sz w:val="28"/>
          <w:szCs w:val="28"/>
          <w:lang w:val="en-US" w:eastAsia="zh-CN"/>
        </w:rPr>
        <w:t>2.第六章“金属结构工程”中厂库房钢结构钢柱质量大于25t，钢梁质量大于15t，住宅钢结构钢柱质量大于15t、钢梁质量大于5t时，该如何套价？</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答：厂库房钢结构钢柱质量大于25t、钢梁质量大于15t，住宅钢结构钢柱质量大于15t、钢梁质量大于5t，</w:t>
      </w:r>
      <w:r>
        <w:rPr>
          <w:rFonts w:hint="eastAsia" w:ascii="仿宋" w:hAnsi="仿宋" w:eastAsia="仿宋"/>
          <w:sz w:val="28"/>
          <w:szCs w:val="28"/>
          <w:lang w:val="en-US" w:eastAsia="zh-CN"/>
        </w:rPr>
        <w:t>吊装定额</w:t>
      </w:r>
      <w:r>
        <w:rPr>
          <w:rFonts w:hint="eastAsia" w:ascii="仿宋" w:hAnsi="仿宋" w:eastAsia="仿宋"/>
          <w:sz w:val="28"/>
          <w:szCs w:val="28"/>
        </w:rPr>
        <w:t>按相应构件最大质量定额子目乘1.</w:t>
      </w:r>
      <w:r>
        <w:rPr>
          <w:rFonts w:hint="eastAsia" w:ascii="仿宋" w:hAnsi="仿宋" w:eastAsia="仿宋"/>
          <w:sz w:val="28"/>
          <w:szCs w:val="28"/>
          <w:lang w:val="en-US" w:eastAsia="zh-CN"/>
        </w:rPr>
        <w:t>05</w:t>
      </w:r>
      <w:r>
        <w:rPr>
          <w:rFonts w:hint="eastAsia" w:ascii="仿宋" w:hAnsi="仿宋" w:eastAsia="仿宋"/>
          <w:sz w:val="28"/>
          <w:szCs w:val="28"/>
        </w:rPr>
        <w:t>系数。设计文件或施工组织设计文件有明确要求钢构件需要分段制作并运输至施工现场时，除套用18版定额第六章现场拼装平台摊销外，其构件拼装、吊装措施费按“大跨度钢结构工程补充定额”桁架相应定额子目乘系数0.8</w:t>
      </w:r>
      <w:r>
        <w:rPr>
          <w:rFonts w:hint="eastAsia" w:ascii="仿宋" w:hAnsi="仿宋" w:eastAsia="仿宋"/>
          <w:sz w:val="28"/>
          <w:szCs w:val="28"/>
          <w:lang w:eastAsia="zh-CN"/>
        </w:rPr>
        <w:t>。</w:t>
      </w:r>
    </w:p>
    <w:p>
      <w:pPr>
        <w:ind w:firstLine="560" w:firstLineChars="200"/>
        <w:rPr>
          <w:rFonts w:hint="eastAsia" w:ascii="黑体" w:hAnsi="黑体" w:eastAsia="黑体"/>
          <w:sz w:val="28"/>
          <w:szCs w:val="28"/>
          <w:lang w:val="en-US" w:eastAsia="zh-CN"/>
        </w:rPr>
      </w:pPr>
      <w:r>
        <w:rPr>
          <w:rFonts w:hint="eastAsia" w:ascii="黑体" w:hAnsi="黑体" w:eastAsia="黑体"/>
          <w:sz w:val="28"/>
          <w:szCs w:val="28"/>
          <w:lang w:val="en-US" w:eastAsia="zh-CN"/>
        </w:rPr>
        <w:t>3.第六章“金属结构工程”中的钢网架安装是按跨度多少米考虑的？是否需要考虑构件拼装、措施费和现场拼装平台摊销？</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答：第六章“金属结构工程”中的钢网架安装按跨度36米以内编制。跨度大于36米、小于60米的钢网架吊装按《浙江省房屋建筑与装饰工程预算定额》（2018版）（以下简称“18定额”）第六章“金属结构工程”钢网架相应项目乘以系数1.05；跨度60米及以上的钢网架吊装按18定额第六章“金属结构工程”钢网架相应项目乘以系数1.1。</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设计文件或施工组织设计文件有明确要求钢构件需要分段制作并运输至施工现场时，钢网架跨度36米以内的，只需考虑现场拼装平台摊销；跨度大于36米、小于60米的钢网架除套用18版定额第六章现场拼装平台摊销外，其构件拼装、吊装措施费按“大跨度钢结构工程补充定额”相应定额乘系数0.8；跨度60米及以上的钢网架除套用18版定额第六章现场拼装平台摊销外，其构件拼装、吊装措施费按“大跨度钢结构工程补充定额”执行。</w:t>
      </w:r>
    </w:p>
    <w:p>
      <w:pPr>
        <w:ind w:firstLine="560" w:firstLineChars="200"/>
        <w:rPr>
          <w:rFonts w:hint="default" w:ascii="仿宋" w:hAnsi="仿宋" w:eastAsia="仿宋"/>
          <w:sz w:val="28"/>
          <w:szCs w:val="28"/>
          <w:lang w:val="en-US" w:eastAsia="zh-CN"/>
        </w:rPr>
      </w:pPr>
      <w:r>
        <w:rPr>
          <w:rFonts w:hint="eastAsia" w:ascii="黑体" w:hAnsi="黑体" w:eastAsia="黑体"/>
          <w:sz w:val="28"/>
          <w:szCs w:val="28"/>
          <w:lang w:val="en-US" w:eastAsia="zh-CN"/>
        </w:rPr>
        <w:t>4.第十四章油漆、涂料、裱糊工程中，薄型、厚型金属面防火涂料该如何套用定额？</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答：</w:t>
      </w:r>
      <w:r>
        <w:rPr>
          <w:rFonts w:hint="eastAsia" w:ascii="仿宋" w:hAnsi="仿宋" w:eastAsia="仿宋"/>
          <w:sz w:val="28"/>
          <w:szCs w:val="28"/>
          <w:lang w:val="en-US" w:eastAsia="zh-CN"/>
        </w:rPr>
        <w:t>详见补充定额。</w:t>
      </w:r>
    </w:p>
    <w:p>
      <w:pPr>
        <w:ind w:firstLine="560" w:firstLineChars="200"/>
        <w:rPr>
          <w:rFonts w:hint="eastAsia" w:ascii="仿宋" w:hAnsi="仿宋" w:eastAsia="仿宋"/>
          <w:sz w:val="28"/>
          <w:szCs w:val="28"/>
          <w:lang w:val="en-US" w:eastAsia="zh-CN"/>
        </w:rPr>
      </w:pPr>
    </w:p>
    <w:p>
      <w:pPr>
        <w:ind w:firstLine="560" w:firstLineChars="200"/>
        <w:rPr>
          <w:rFonts w:hint="eastAsia" w:ascii="仿宋" w:hAnsi="仿宋" w:eastAsia="仿宋"/>
          <w:sz w:val="28"/>
          <w:szCs w:val="28"/>
          <w:lang w:val="en-US" w:eastAsia="zh-CN"/>
        </w:rPr>
      </w:pPr>
    </w:p>
    <w:p>
      <w:pPr>
        <w:ind w:firstLine="560" w:firstLineChars="200"/>
        <w:rPr>
          <w:rFonts w:hint="eastAsia" w:ascii="仿宋" w:hAnsi="仿宋" w:eastAsia="仿宋"/>
          <w:sz w:val="28"/>
          <w:szCs w:val="28"/>
          <w:lang w:val="en-US" w:eastAsia="zh-CN"/>
        </w:rPr>
      </w:pPr>
    </w:p>
    <w:p>
      <w:pPr>
        <w:ind w:firstLine="560" w:firstLineChars="200"/>
        <w:rPr>
          <w:rFonts w:hint="eastAsia" w:ascii="仿宋" w:hAnsi="仿宋" w:eastAsia="仿宋"/>
          <w:sz w:val="28"/>
          <w:szCs w:val="28"/>
          <w:lang w:val="en-US" w:eastAsia="zh-CN"/>
        </w:rPr>
      </w:pPr>
    </w:p>
    <w:p>
      <w:pPr>
        <w:ind w:firstLine="560" w:firstLineChars="200"/>
        <w:rPr>
          <w:rFonts w:hint="eastAsia" w:ascii="仿宋" w:hAnsi="仿宋" w:eastAsia="仿宋"/>
          <w:sz w:val="28"/>
          <w:szCs w:val="28"/>
          <w:lang w:val="en-US" w:eastAsia="zh-CN"/>
        </w:rPr>
      </w:pPr>
    </w:p>
    <w:p>
      <w:pPr>
        <w:ind w:firstLine="560" w:firstLineChars="200"/>
        <w:rPr>
          <w:rFonts w:hint="eastAsia" w:ascii="仿宋" w:hAnsi="仿宋" w:eastAsia="仿宋"/>
          <w:sz w:val="28"/>
          <w:szCs w:val="28"/>
          <w:lang w:val="en-US" w:eastAsia="zh-CN"/>
        </w:rPr>
      </w:pPr>
    </w:p>
    <w:p>
      <w:pPr>
        <w:keepNext w:val="0"/>
        <w:keepLines w:val="0"/>
        <w:widowControl/>
        <w:numPr>
          <w:ilvl w:val="0"/>
          <w:numId w:val="0"/>
        </w:numPr>
        <w:suppressLineNumbers w:val="0"/>
        <w:ind w:leftChars="-50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1.厚型防火涂料</w:t>
      </w:r>
    </w:p>
    <w:p>
      <w:pPr>
        <w:keepNext w:val="0"/>
        <w:keepLines w:val="0"/>
        <w:widowControl/>
        <w:suppressLineNumbers w:val="0"/>
        <w:ind w:left="900" w:hanging="900" w:hangingChars="5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工作内容：除锈、清扫、补缝、刷漆、刷涂料等全过程。</w:t>
      </w:r>
    </w:p>
    <w:tbl>
      <w:tblPr>
        <w:tblStyle w:val="10"/>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216"/>
        <w:gridCol w:w="2503"/>
        <w:gridCol w:w="630"/>
        <w:gridCol w:w="1044"/>
        <w:gridCol w:w="255"/>
        <w:gridCol w:w="1048"/>
        <w:gridCol w:w="375"/>
        <w:gridCol w:w="1374"/>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503" w:type="dxa"/>
            <w:tcBorders>
              <w:top w:val="nil"/>
              <w:left w:val="nil"/>
              <w:bottom w:val="single" w:color="00000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0" w:type="dxa"/>
            <w:tcBorders>
              <w:top w:val="nil"/>
              <w:left w:val="nil"/>
              <w:bottom w:val="single" w:color="000000" w:sz="4" w:space="0"/>
              <w:right w:val="nil"/>
            </w:tcBorders>
            <w:shd w:val="clear" w:color="auto" w:fill="auto"/>
            <w:vAlign w:val="center"/>
          </w:tcPr>
          <w:p>
            <w:pPr>
              <w:jc w:val="center"/>
            </w:pPr>
          </w:p>
        </w:tc>
        <w:tc>
          <w:tcPr>
            <w:tcW w:w="1044"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749" w:type="dxa"/>
            <w:gridSpan w:val="2"/>
            <w:tcBorders>
              <w:top w:val="nil"/>
              <w:left w:val="nil"/>
              <w:bottom w:val="single" w:color="000000" w:sz="4" w:space="0"/>
              <w:right w:val="nil"/>
            </w:tcBorders>
            <w:shd w:val="clear" w:color="auto" w:fill="auto"/>
            <w:vAlign w:val="center"/>
          </w:tcPr>
          <w:p>
            <w:pPr>
              <w:keepNext w:val="0"/>
              <w:keepLines w:val="0"/>
              <w:widowControl/>
              <w:suppressLineNumbers w:val="0"/>
              <w:ind w:left="-402" w:leftChars="-200" w:hanging="18" w:hangingChars="1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计量单位：100㎡</w:t>
            </w:r>
          </w:p>
        </w:tc>
        <w:tc>
          <w:tcPr>
            <w:tcW w:w="240" w:type="dxa"/>
            <w:tcBorders>
              <w:top w:val="nil"/>
              <w:left w:val="nil"/>
              <w:bottom w:val="single" w:color="000000" w:sz="4" w:space="0"/>
              <w:right w:val="nil"/>
            </w:tcBorders>
            <w:shd w:val="clear" w:color="auto" w:fill="auto"/>
            <w:vAlign w:val="center"/>
          </w:tcPr>
          <w:p>
            <w:pPr>
              <w:keepNext w:val="0"/>
              <w:keepLines w:val="0"/>
              <w:widowControl/>
              <w:suppressLineNumbers w:val="0"/>
              <w:ind w:left="-402" w:leftChars="-200" w:hanging="18" w:hangingChars="10"/>
              <w:jc w:val="righ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  额  编  号</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建14B-1</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建14B-2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321" w:type="dxa"/>
            <w:gridSpan w:val="5"/>
            <w:vMerge w:val="restart"/>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  目</w:t>
            </w:r>
          </w:p>
        </w:tc>
        <w:tc>
          <w:tcPr>
            <w:tcW w:w="32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金属面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321" w:type="dxa"/>
            <w:gridSpan w:val="5"/>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厚型防火涂料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321" w:type="dxa"/>
            <w:gridSpan w:val="5"/>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耐火极限2h</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耐火极限每增0.5h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     价  （元）</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5033.79</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人   工   费（元）</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1093.37</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材   料   费（元）</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3522.56</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机   械   费（元）</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417.86</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2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消耗量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三类人工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sz w:val="18"/>
                <w:szCs w:val="18"/>
                <w:u w:val="none"/>
                <w:lang w:val="en-US" w:eastAsia="zh-CN"/>
              </w:rPr>
            </w:pPr>
            <w:r>
              <w:rPr>
                <w:rFonts w:hint="eastAsia" w:ascii="宋体" w:hAnsi="宋体" w:eastAsia="宋体" w:cs="宋体"/>
                <w:i w:val="0"/>
                <w:iCs w:val="0"/>
                <w:color w:val="auto"/>
                <w:sz w:val="18"/>
                <w:szCs w:val="18"/>
                <w:u w:val="none"/>
                <w:lang w:val="en-US" w:eastAsia="zh-CN"/>
              </w:rPr>
              <w:t>7.054</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keepNext w:val="0"/>
              <w:keepLines w:val="0"/>
              <w:widowControl/>
              <w:suppressLineNumbers w:val="0"/>
              <w:spacing w:line="480" w:lineRule="auto"/>
              <w:ind w:right="113"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      料</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480" w:lineRule="auto"/>
              <w:jc w:val="both"/>
              <w:textAlignment w:val="top"/>
              <w:rPr>
                <w:rFonts w:hint="default"/>
                <w:lang w:val="en-US"/>
              </w:rPr>
            </w:pPr>
            <w:r>
              <w:rPr>
                <w:rFonts w:hint="eastAsia" w:ascii="宋体" w:hAnsi="宋体" w:eastAsia="宋体" w:cs="宋体"/>
                <w:i w:val="0"/>
                <w:iCs w:val="0"/>
                <w:color w:val="000000"/>
                <w:kern w:val="0"/>
                <w:sz w:val="18"/>
                <w:szCs w:val="18"/>
                <w:u w:val="none"/>
                <w:lang w:val="en-US" w:eastAsia="zh-CN" w:bidi="ar"/>
              </w:rPr>
              <w:t>厚型防火涂料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1.60</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2200.000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928" w:type="dxa"/>
            <w:vMerge w:val="continue"/>
            <w:tcBorders>
              <w:left w:val="single" w:color="000000" w:sz="4" w:space="0"/>
              <w:bottom w:val="single" w:color="000000" w:sz="4" w:space="0"/>
              <w:right w:val="single" w:color="000000" w:sz="4" w:space="0"/>
            </w:tcBorders>
            <w:shd w:val="clear" w:color="auto" w:fill="auto"/>
            <w:noWrap/>
            <w:textDirection w:val="tbLrV"/>
            <w:vAlign w:val="center"/>
          </w:tcPr>
          <w:p>
            <w:pPr>
              <w:spacing w:line="480" w:lineRule="auto"/>
              <w:ind w:left="113" w:right="113"/>
              <w:jc w:val="both"/>
              <w:rPr>
                <w:rFonts w:hint="eastAsia" w:ascii="宋体" w:hAnsi="宋体" w:eastAsia="宋体" w:cs="宋体"/>
                <w:i w:val="0"/>
                <w:iCs w:val="0"/>
                <w:color w:val="000000"/>
                <w:kern w:val="0"/>
                <w:sz w:val="18"/>
                <w:szCs w:val="18"/>
                <w:u w:val="none"/>
                <w:lang w:val="en-US" w:eastAsia="zh-CN" w:bidi="ar"/>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480" w:lineRule="auto"/>
              <w:jc w:val="both"/>
              <w:textAlignment w:val="top"/>
            </w:pPr>
            <w:r>
              <w:rPr>
                <w:rFonts w:hint="eastAsia" w:ascii="宋体" w:hAnsi="宋体" w:eastAsia="宋体" w:cs="宋体"/>
                <w:i w:val="0"/>
                <w:iCs w:val="0"/>
                <w:color w:val="000000"/>
                <w:kern w:val="0"/>
                <w:sz w:val="18"/>
                <w:szCs w:val="18"/>
                <w:u w:val="none"/>
                <w:lang w:val="en-US" w:eastAsia="zh-CN" w:bidi="ar"/>
              </w:rPr>
              <w:t>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4.27</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0.600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928" w:type="dxa"/>
            <w:tcBorders>
              <w:top w:val="single" w:color="000000" w:sz="4" w:space="0"/>
              <w:left w:val="single" w:color="000000" w:sz="4" w:space="0"/>
              <w:bottom w:val="single" w:color="auto"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600" w:lineRule="auto"/>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电动空气压缩机3m³/min</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122.54</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3.410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0.940</w:t>
            </w:r>
          </w:p>
        </w:tc>
      </w:tr>
    </w:tbl>
    <w:p>
      <w:r>
        <w:br w:type="page"/>
      </w:r>
    </w:p>
    <w:p>
      <w:pPr>
        <w:keepNext w:val="0"/>
        <w:keepLines w:val="0"/>
        <w:widowControl/>
        <w:numPr>
          <w:ilvl w:val="0"/>
          <w:numId w:val="0"/>
        </w:numPr>
        <w:suppressLineNumbers w:val="0"/>
        <w:ind w:leftChars="-50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2.薄型防火涂料</w:t>
      </w:r>
    </w:p>
    <w:p>
      <w:pPr>
        <w:keepNext w:val="0"/>
        <w:keepLines w:val="0"/>
        <w:widowControl/>
        <w:suppressLineNumbers w:val="0"/>
        <w:ind w:left="900" w:hanging="900" w:hangingChars="5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工作内容：除锈、清扫、补缝、刷漆、刷涂料等全过程。</w:t>
      </w:r>
    </w:p>
    <w:tbl>
      <w:tblPr>
        <w:tblStyle w:val="10"/>
        <w:tblW w:w="89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216"/>
        <w:gridCol w:w="2503"/>
        <w:gridCol w:w="630"/>
        <w:gridCol w:w="1044"/>
        <w:gridCol w:w="255"/>
        <w:gridCol w:w="1003"/>
        <w:gridCol w:w="615"/>
        <w:gridCol w:w="1189"/>
        <w:gridCol w:w="240"/>
        <w:gridCol w:w="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6" w:type="dxa"/>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   </w:t>
            </w:r>
          </w:p>
        </w:tc>
        <w:tc>
          <w:tcPr>
            <w:tcW w:w="2503" w:type="dxa"/>
            <w:tcBorders>
              <w:top w:val="nil"/>
              <w:left w:val="nil"/>
              <w:bottom w:val="single" w:color="000000" w:sz="4" w:space="0"/>
              <w:right w:val="nil"/>
            </w:tcBorders>
            <w:shd w:val="clear" w:color="auto" w:fill="auto"/>
            <w:vAlign w:val="center"/>
          </w:tcPr>
          <w:p>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 </w:t>
            </w:r>
          </w:p>
        </w:tc>
        <w:tc>
          <w:tcPr>
            <w:tcW w:w="630" w:type="dxa"/>
            <w:tcBorders>
              <w:top w:val="nil"/>
              <w:left w:val="nil"/>
              <w:bottom w:val="single" w:color="000000" w:sz="4" w:space="0"/>
              <w:right w:val="nil"/>
            </w:tcBorders>
            <w:shd w:val="clear" w:color="auto" w:fill="auto"/>
            <w:vAlign w:val="center"/>
          </w:tcPr>
          <w:p>
            <w:pPr>
              <w:jc w:val="center"/>
            </w:pPr>
          </w:p>
        </w:tc>
        <w:tc>
          <w:tcPr>
            <w:tcW w:w="1044"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3" w:type="dxa"/>
            <w:tcBorders>
              <w:top w:val="nil"/>
              <w:left w:val="nil"/>
              <w:bottom w:val="single" w:color="000000" w:sz="4" w:space="0"/>
              <w:right w:val="nil"/>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804" w:type="dxa"/>
            <w:gridSpan w:val="2"/>
            <w:tcBorders>
              <w:top w:val="nil"/>
              <w:left w:val="nil"/>
              <w:bottom w:val="single" w:color="000000" w:sz="4" w:space="0"/>
              <w:right w:val="nil"/>
            </w:tcBorders>
            <w:shd w:val="clear" w:color="auto" w:fill="auto"/>
            <w:vAlign w:val="center"/>
          </w:tcPr>
          <w:p>
            <w:pPr>
              <w:keepNext w:val="0"/>
              <w:keepLines w:val="0"/>
              <w:widowControl/>
              <w:suppressLineNumbers w:val="0"/>
              <w:tabs>
                <w:tab w:val="left" w:pos="1260"/>
              </w:tabs>
              <w:ind w:left="-402" w:leftChars="-200" w:hanging="18" w:hangingChars="1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计量单位：100㎡</w:t>
            </w:r>
          </w:p>
        </w:tc>
        <w:tc>
          <w:tcPr>
            <w:tcW w:w="240" w:type="dxa"/>
            <w:tcBorders>
              <w:top w:val="nil"/>
              <w:left w:val="nil"/>
              <w:bottom w:val="single" w:color="000000" w:sz="4" w:space="0"/>
              <w:right w:val="nil"/>
            </w:tcBorders>
            <w:shd w:val="clear" w:color="auto" w:fill="auto"/>
            <w:vAlign w:val="center"/>
          </w:tcPr>
          <w:p>
            <w:pPr>
              <w:keepNext w:val="0"/>
              <w:keepLines w:val="0"/>
              <w:widowControl/>
              <w:suppressLineNumbers w:val="0"/>
              <w:ind w:left="-402" w:leftChars="-200" w:hanging="18" w:hangingChars="10"/>
              <w:jc w:val="righ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  额  编  号</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建14B-3</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建14B-4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321" w:type="dxa"/>
            <w:gridSpan w:val="5"/>
            <w:vMerge w:val="restart"/>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  目</w:t>
            </w:r>
          </w:p>
        </w:tc>
        <w:tc>
          <w:tcPr>
            <w:tcW w:w="36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金属面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321" w:type="dxa"/>
            <w:gridSpan w:val="5"/>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薄型防火涂料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321" w:type="dxa"/>
            <w:gridSpan w:val="5"/>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耐火极限1h</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耐火极限每增0.5h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     价  （元）</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4536.41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人   工   费（元）</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1249.46</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材   料   费（元）</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3174.21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机   械   费（元）</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112.74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6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消耗量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三类人工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sz w:val="18"/>
                <w:szCs w:val="18"/>
                <w:u w:val="none"/>
                <w:lang w:val="en-US" w:eastAsia="zh-CN"/>
              </w:rPr>
            </w:pPr>
            <w:r>
              <w:rPr>
                <w:rFonts w:hint="eastAsia" w:ascii="宋体" w:hAnsi="宋体" w:eastAsia="宋体" w:cs="宋体"/>
                <w:i w:val="0"/>
                <w:iCs w:val="0"/>
                <w:color w:val="auto"/>
                <w:sz w:val="18"/>
                <w:szCs w:val="18"/>
                <w:u w:val="none"/>
                <w:lang w:val="en-US" w:eastAsia="zh-CN"/>
              </w:rPr>
              <w:t>8.061</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600" w:lineRule="auto"/>
              <w:jc w:val="left"/>
              <w:textAlignment w:val="top"/>
              <w:rPr>
                <w:rFonts w:hint="default"/>
                <w:lang w:val="en-US"/>
              </w:rPr>
            </w:pPr>
            <w:r>
              <w:rPr>
                <w:rFonts w:hint="eastAsia" w:ascii="宋体" w:hAnsi="宋体" w:eastAsia="宋体" w:cs="宋体"/>
                <w:i w:val="0"/>
                <w:iCs w:val="0"/>
                <w:color w:val="000000"/>
                <w:kern w:val="0"/>
                <w:sz w:val="18"/>
                <w:szCs w:val="18"/>
                <w:u w:val="none"/>
                <w:lang w:val="en-US" w:eastAsia="zh-CN" w:bidi="ar"/>
              </w:rPr>
              <w:t>薄型防火涂料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9.00</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351.864</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121.068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928" w:type="dxa"/>
            <w:vMerge w:val="continue"/>
            <w:tcBorders>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hint="eastAsia" w:ascii="宋体" w:hAnsi="宋体" w:eastAsia="宋体" w:cs="宋体"/>
                <w:i w:val="0"/>
                <w:iCs w:val="0"/>
                <w:color w:val="000000"/>
                <w:kern w:val="0"/>
                <w:sz w:val="18"/>
                <w:szCs w:val="18"/>
                <w:u w:val="none"/>
                <w:lang w:val="en-US" w:eastAsia="zh-CN" w:bidi="ar"/>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600" w:lineRule="auto"/>
              <w:jc w:val="left"/>
              <w:textAlignment w:val="top"/>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7.430</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3.720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928" w:type="dxa"/>
            <w:tcBorders>
              <w:top w:val="single" w:color="000000" w:sz="4" w:space="0"/>
              <w:left w:val="single" w:color="000000" w:sz="4" w:space="0"/>
              <w:bottom w:val="single" w:color="auto"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600" w:lineRule="auto"/>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电动空气压缩机3m³/min</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122.54</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0.920</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0.110</w:t>
            </w:r>
          </w:p>
        </w:tc>
      </w:tr>
    </w:tbl>
    <w:p/>
    <w:p>
      <w:r>
        <w:br w:type="page"/>
      </w:r>
    </w:p>
    <w:p>
      <w:pPr>
        <w:keepNext w:val="0"/>
        <w:keepLines w:val="0"/>
        <w:widowControl/>
        <w:numPr>
          <w:ilvl w:val="0"/>
          <w:numId w:val="0"/>
        </w:numPr>
        <w:suppressLineNumbers w:val="0"/>
        <w:ind w:leftChars="-50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3.厚型防火涂料基层上批腻子</w:t>
      </w:r>
    </w:p>
    <w:p>
      <w:pPr>
        <w:keepNext w:val="0"/>
        <w:keepLines w:val="0"/>
        <w:widowControl/>
        <w:suppressLineNumbers w:val="0"/>
        <w:ind w:left="900" w:hanging="900" w:hangingChars="5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工作内容：清理、修补基层、拌合腻子、刮腻子、磨砂皮等。</w:t>
      </w:r>
    </w:p>
    <w:tbl>
      <w:tblPr>
        <w:tblStyle w:val="10"/>
        <w:tblW w:w="88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216"/>
        <w:gridCol w:w="2503"/>
        <w:gridCol w:w="630"/>
        <w:gridCol w:w="1044"/>
        <w:gridCol w:w="255"/>
        <w:gridCol w:w="1251"/>
        <w:gridCol w:w="1546"/>
        <w:gridCol w:w="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503" w:type="dxa"/>
            <w:tcBorders>
              <w:top w:val="nil"/>
              <w:left w:val="nil"/>
              <w:bottom w:val="single" w:color="00000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0" w:type="dxa"/>
            <w:tcBorders>
              <w:top w:val="nil"/>
              <w:left w:val="nil"/>
              <w:bottom w:val="single" w:color="000000" w:sz="4" w:space="0"/>
              <w:right w:val="nil"/>
            </w:tcBorders>
            <w:shd w:val="clear" w:color="auto" w:fill="auto"/>
            <w:vAlign w:val="center"/>
          </w:tcPr>
          <w:p>
            <w:pPr>
              <w:jc w:val="center"/>
            </w:pPr>
          </w:p>
        </w:tc>
        <w:tc>
          <w:tcPr>
            <w:tcW w:w="1044"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1"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546" w:type="dxa"/>
            <w:tcBorders>
              <w:top w:val="nil"/>
              <w:left w:val="nil"/>
              <w:bottom w:val="single" w:color="000000" w:sz="4" w:space="0"/>
              <w:right w:val="nil"/>
            </w:tcBorders>
            <w:shd w:val="clear" w:color="auto" w:fill="auto"/>
            <w:vAlign w:val="center"/>
          </w:tcPr>
          <w:p>
            <w:pPr>
              <w:keepNext w:val="0"/>
              <w:keepLines w:val="0"/>
              <w:widowControl/>
              <w:suppressLineNumbers w:val="0"/>
              <w:ind w:left="-402" w:leftChars="-200" w:hanging="18" w:hangingChars="1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计量单位：100㎡</w:t>
            </w:r>
          </w:p>
        </w:tc>
        <w:tc>
          <w:tcPr>
            <w:tcW w:w="498" w:type="dxa"/>
            <w:tcBorders>
              <w:top w:val="nil"/>
              <w:left w:val="nil"/>
              <w:bottom w:val="single" w:color="000000" w:sz="4" w:space="0"/>
              <w:right w:val="nil"/>
            </w:tcBorders>
            <w:shd w:val="clear" w:color="auto" w:fill="auto"/>
            <w:vAlign w:val="center"/>
          </w:tcPr>
          <w:p>
            <w:pPr>
              <w:keepNext w:val="0"/>
              <w:keepLines w:val="0"/>
              <w:widowControl/>
              <w:suppressLineNumbers w:val="0"/>
              <w:ind w:left="-402" w:leftChars="-200" w:hanging="18" w:hangingChars="10"/>
              <w:jc w:val="righ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  额  编  号</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建14B-5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321" w:type="dxa"/>
            <w:gridSpan w:val="5"/>
            <w:vMerge w:val="restart"/>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  目</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批刮腻子（满刮两遍）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321" w:type="dxa"/>
            <w:gridSpan w:val="5"/>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厚型防火涂料基层上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     价  （元）</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人   工   费（元）</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材   料   费（元）</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机   械   费（元）</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消耗量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三类人工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600" w:lineRule="auto"/>
              <w:jc w:val="left"/>
              <w:textAlignment w:val="top"/>
            </w:pPr>
            <w:r>
              <w:rPr>
                <w:rFonts w:hint="eastAsia" w:ascii="宋体" w:hAnsi="宋体" w:eastAsia="宋体" w:cs="宋体"/>
                <w:i w:val="0"/>
                <w:iCs w:val="0"/>
                <w:color w:val="000000"/>
                <w:kern w:val="0"/>
                <w:sz w:val="18"/>
                <w:szCs w:val="18"/>
                <w:u w:val="none"/>
                <w:lang w:val="en-US" w:eastAsia="zh-CN" w:bidi="ar"/>
              </w:rPr>
              <w:t>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18"/>
                <w:szCs w:val="18"/>
                <w:u w:val="none"/>
                <w:lang w:val="en-US" w:eastAsia="zh-CN" w:bidi="ar"/>
              </w:rPr>
              <w:t>4.27</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600" w:lineRule="auto"/>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木砂纸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600" w:lineRule="auto"/>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成品腻子粉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0.86</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928" w:type="dxa"/>
            <w:vMerge w:val="continue"/>
            <w:tcBorders>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hint="eastAsia" w:ascii="宋体" w:hAnsi="宋体" w:eastAsia="宋体" w:cs="宋体"/>
                <w:i w:val="0"/>
                <w:iCs w:val="0"/>
                <w:color w:val="000000"/>
                <w:kern w:val="0"/>
                <w:sz w:val="18"/>
                <w:szCs w:val="18"/>
                <w:u w:val="none"/>
                <w:lang w:val="en-US" w:eastAsia="zh-CN" w:bidi="ar"/>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600" w:lineRule="auto"/>
              <w:jc w:val="left"/>
              <w:textAlignment w:val="top"/>
            </w:pPr>
            <w:r>
              <w:rPr>
                <w:rFonts w:hint="eastAsia" w:ascii="宋体" w:hAnsi="宋体" w:eastAsia="宋体" w:cs="宋体"/>
                <w:i w:val="0"/>
                <w:iCs w:val="0"/>
                <w:color w:val="000000"/>
                <w:kern w:val="0"/>
                <w:sz w:val="18"/>
                <w:szCs w:val="18"/>
                <w:u w:val="none"/>
                <w:lang w:val="en-US" w:eastAsia="zh-CN" w:bidi="ar"/>
              </w:rPr>
              <w:t xml:space="preserve">其他材料费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1.00</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r>
    </w:tbl>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p/>
    <w:p>
      <w:pPr>
        <w:ind w:firstLine="560" w:firstLineChars="200"/>
        <w:rPr>
          <w:rFonts w:hint="eastAsia" w:ascii="黑体" w:hAnsi="黑体" w:eastAsia="黑体"/>
          <w:sz w:val="28"/>
          <w:szCs w:val="28"/>
          <w:lang w:val="en-US" w:eastAsia="zh-CN"/>
        </w:rPr>
      </w:pPr>
      <w:r>
        <w:rPr>
          <w:rFonts w:hint="eastAsia" w:ascii="黑体" w:hAnsi="黑体" w:eastAsia="黑体"/>
          <w:sz w:val="28"/>
          <w:szCs w:val="28"/>
          <w:lang w:val="en-US" w:eastAsia="zh-CN"/>
        </w:rPr>
        <w:t>（二）大跨度钢结构工程补充定额（详见附件：《大跨度钢结构工程补充定额》）</w:t>
      </w:r>
    </w:p>
    <w:p>
      <w:pPr>
        <w:rPr>
          <w:rFonts w:hint="eastAsia" w:ascii="黑体" w:hAnsi="黑体" w:eastAsia="黑体"/>
          <w:sz w:val="28"/>
          <w:szCs w:val="28"/>
          <w:lang w:val="en-US" w:eastAsia="zh-CN"/>
        </w:rPr>
      </w:pPr>
      <w:r>
        <w:rPr>
          <w:rFonts w:hint="eastAsia" w:ascii="黑体" w:hAnsi="黑体" w:eastAsia="黑体"/>
          <w:sz w:val="28"/>
          <w:szCs w:val="28"/>
          <w:lang w:val="en-US" w:eastAsia="zh-CN"/>
        </w:rPr>
        <w:br w:type="page"/>
      </w:r>
    </w:p>
    <w:tbl>
      <w:tblPr>
        <w:tblStyle w:val="10"/>
        <w:tblW w:w="5000" w:type="pct"/>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noWrap/>
            <w:vAlign w:val="center"/>
          </w:tcPr>
          <w:p>
            <w:pPr>
              <w:spacing w:beforeLines="50" w:afterLines="50" w:line="264" w:lineRule="auto"/>
              <w:rPr>
                <w:rFonts w:ascii="黑体" w:hAnsi="黑体" w:eastAsia="黑体"/>
                <w:b/>
                <w:color w:val="auto"/>
                <w:sz w:val="36"/>
                <w:szCs w:val="36"/>
              </w:rPr>
            </w:pPr>
            <w:r>
              <w:rPr>
                <w:rFonts w:hint="eastAsia" w:ascii="黑体" w:hAnsi="黑体" w:eastAsia="黑体"/>
                <w:b/>
                <w:color w:val="auto"/>
                <w:sz w:val="36"/>
                <w:szCs w:val="36"/>
              </w:rPr>
              <w:t>附件：</w:t>
            </w:r>
          </w:p>
          <w:p>
            <w:pPr>
              <w:spacing w:beforeLines="50" w:afterLines="50" w:line="264" w:lineRule="auto"/>
              <w:jc w:val="center"/>
              <w:rPr>
                <w:rFonts w:ascii="黑体" w:hAnsi="黑体" w:eastAsia="黑体"/>
                <w:b/>
                <w:color w:val="auto"/>
                <w:sz w:val="36"/>
                <w:szCs w:val="36"/>
              </w:rPr>
            </w:pPr>
            <w:r>
              <w:rPr>
                <w:rFonts w:hint="eastAsia" w:ascii="黑体" w:hAnsi="黑体" w:eastAsia="黑体"/>
                <w:b/>
                <w:color w:val="auto"/>
                <w:sz w:val="36"/>
                <w:szCs w:val="36"/>
                <w:lang w:val="en-US" w:eastAsia="zh-CN"/>
              </w:rPr>
              <w:t>大跨度</w:t>
            </w:r>
            <w:r>
              <w:rPr>
                <w:rFonts w:hint="eastAsia" w:ascii="黑体" w:hAnsi="黑体" w:eastAsia="黑体"/>
                <w:b/>
                <w:color w:val="auto"/>
                <w:sz w:val="36"/>
                <w:szCs w:val="36"/>
              </w:rPr>
              <w:t>钢结构工程补充定额</w:t>
            </w:r>
          </w:p>
          <w:p>
            <w:pPr>
              <w:spacing w:beforeLines="50" w:afterLines="50" w:line="264" w:lineRule="auto"/>
              <w:jc w:val="center"/>
              <w:rPr>
                <w:rFonts w:ascii="Times New Roman" w:hAnsi="Times New Roman"/>
                <w:b/>
                <w:color w:val="auto"/>
                <w:sz w:val="32"/>
                <w:szCs w:val="32"/>
              </w:rPr>
            </w:pPr>
            <w:r>
              <w:rPr>
                <w:rFonts w:hint="eastAsia" w:ascii="Times New Roman" w:hAnsi="Times New Roman"/>
                <w:b/>
                <w:color w:val="auto"/>
                <w:sz w:val="32"/>
                <w:szCs w:val="32"/>
              </w:rPr>
              <w:t>说  明</w:t>
            </w:r>
          </w:p>
          <w:p>
            <w:pPr>
              <w:tabs>
                <w:tab w:val="left" w:pos="851"/>
              </w:tabs>
              <w:spacing w:line="264" w:lineRule="auto"/>
              <w:ind w:firstLine="422" w:firstLineChars="201"/>
              <w:rPr>
                <w:rFonts w:ascii="宋体" w:hAnsi="宋体" w:eastAsia="宋体" w:cs="Times New Roman"/>
                <w:color w:val="auto"/>
                <w:szCs w:val="21"/>
              </w:rPr>
            </w:pPr>
            <w:r>
              <w:rPr>
                <w:rFonts w:hint="eastAsia" w:ascii="宋体" w:hAnsi="宋体"/>
                <w:color w:val="auto"/>
                <w:szCs w:val="21"/>
              </w:rPr>
              <w:t>一、</w:t>
            </w:r>
            <w:r>
              <w:rPr>
                <w:rFonts w:hint="eastAsia" w:ascii="宋体" w:hAnsi="宋体"/>
                <w:color w:val="auto"/>
                <w:szCs w:val="21"/>
                <w:lang w:val="en-US" w:eastAsia="zh-CN"/>
              </w:rPr>
              <w:t>大跨度</w:t>
            </w:r>
            <w:r>
              <w:rPr>
                <w:rFonts w:hint="eastAsia" w:ascii="宋体" w:hAnsi="宋体"/>
                <w:color w:val="auto"/>
                <w:szCs w:val="21"/>
              </w:rPr>
              <w:t>钢结构工程补充定额（以下简称本补充定额）</w:t>
            </w:r>
            <w:r>
              <w:rPr>
                <w:rFonts w:ascii="宋体" w:hAnsi="宋体"/>
                <w:color w:val="auto"/>
                <w:szCs w:val="21"/>
              </w:rPr>
              <w:t>包括钢</w:t>
            </w:r>
            <w:r>
              <w:rPr>
                <w:rFonts w:hint="eastAsia" w:ascii="宋体" w:hAnsi="宋体"/>
                <w:color w:val="auto"/>
                <w:szCs w:val="21"/>
              </w:rPr>
              <w:t>桁架和钢网架两部分</w:t>
            </w:r>
            <w:r>
              <w:rPr>
                <w:rFonts w:ascii="宋体" w:hAnsi="宋体"/>
                <w:color w:val="auto"/>
                <w:szCs w:val="21"/>
              </w:rPr>
              <w:t>。</w:t>
            </w:r>
            <w:r>
              <w:rPr>
                <w:rFonts w:hint="eastAsia" w:ascii="宋体" w:hAnsi="宋体"/>
                <w:color w:val="auto"/>
                <w:szCs w:val="21"/>
              </w:rPr>
              <w:t>主要适用于体育场馆、会展中心、机场、</w:t>
            </w:r>
            <w:r>
              <w:rPr>
                <w:rFonts w:hint="eastAsia" w:ascii="宋体" w:hAnsi="宋体" w:eastAsia="宋体" w:cs="宋体"/>
                <w:color w:val="auto"/>
                <w:spacing w:val="-2"/>
                <w:szCs w:val="21"/>
              </w:rPr>
              <w:t>火车（高铁）站房</w:t>
            </w:r>
            <w:r>
              <w:rPr>
                <w:rFonts w:hint="eastAsia" w:ascii="宋体" w:hAnsi="宋体"/>
                <w:color w:val="auto"/>
                <w:szCs w:val="21"/>
              </w:rPr>
              <w:t>等</w:t>
            </w:r>
            <w:r>
              <w:rPr>
                <w:rFonts w:hint="eastAsia" w:ascii="宋体" w:hAnsi="宋体"/>
                <w:color w:val="auto"/>
                <w:szCs w:val="21"/>
                <w:lang w:val="en-US" w:eastAsia="zh-CN"/>
              </w:rPr>
              <w:t>大跨度</w:t>
            </w:r>
            <w:r>
              <w:rPr>
                <w:rFonts w:hint="eastAsia" w:ascii="宋体" w:hAnsi="宋体"/>
                <w:color w:val="auto"/>
                <w:szCs w:val="21"/>
              </w:rPr>
              <w:t>钢结构项目</w:t>
            </w:r>
            <w:r>
              <w:rPr>
                <w:rFonts w:ascii="宋体" w:hAnsi="宋体"/>
                <w:color w:val="auto"/>
                <w:szCs w:val="21"/>
              </w:rPr>
              <w:t>。</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二、本补充定额中预制钢构件均按购入成品到场考虑。</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三、本补充定额钢构件安装定额中已包含现场施工发生的零星油漆破坏的修补、节点焊接或切割需要的除锈及补漆费用。</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四、预制钢构件的除锈、油漆及防火涂料费用应在成品价格内包含，若成品价格中未包括除锈、油漆及防火涂料等，另按《浙江省房屋建筑与装饰工程预算定额》（2018版）</w:t>
            </w:r>
            <w:r>
              <w:rPr>
                <w:rFonts w:hint="eastAsia" w:ascii="宋体" w:hAnsi="宋体"/>
                <w:color w:val="auto"/>
                <w:szCs w:val="21"/>
                <w:lang w:eastAsia="zh-CN"/>
              </w:rPr>
              <w:t>（</w:t>
            </w:r>
            <w:r>
              <w:rPr>
                <w:rFonts w:hint="eastAsia" w:ascii="宋体" w:hAnsi="宋体"/>
                <w:color w:val="auto"/>
                <w:szCs w:val="21"/>
                <w:lang w:val="en-US" w:eastAsia="zh-CN"/>
              </w:rPr>
              <w:t>以下简称18定额</w:t>
            </w:r>
            <w:r>
              <w:rPr>
                <w:rFonts w:hint="eastAsia" w:ascii="宋体" w:hAnsi="宋体"/>
                <w:color w:val="auto"/>
                <w:szCs w:val="21"/>
                <w:lang w:eastAsia="zh-CN"/>
              </w:rPr>
              <w:t>）</w:t>
            </w:r>
            <w:r>
              <w:rPr>
                <w:rFonts w:hint="eastAsia" w:ascii="宋体" w:hAnsi="宋体"/>
                <w:color w:val="auto"/>
                <w:szCs w:val="21"/>
              </w:rPr>
              <w:t>第六章“金属结构工程”、第十四章“油漆、涂料、裱糊工程”及相关补充定额相应项目规定执行。</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五、预制钢构件安装：</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1. 本次补充定额所涉构件安装按吊装、提升、滑移及高空散装分别列项计算，</w:t>
            </w:r>
            <w:r>
              <w:rPr>
                <w:rFonts w:hint="eastAsia"/>
                <w:color w:val="auto"/>
              </w:rPr>
              <w:t>措施费用定额应与相应的安装方式配合使用</w:t>
            </w:r>
            <w:r>
              <w:rPr>
                <w:rFonts w:hint="eastAsia" w:ascii="宋体" w:hAnsi="宋体"/>
                <w:color w:val="auto"/>
                <w:szCs w:val="21"/>
              </w:rPr>
              <w:t>。</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2．钢构件安装定额中预制钢构件以外购成品编制，不考虑施工损耗。</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3．预制钢结构构件安装按构件种类、重量不同分别套用定额。</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4. 钢构件安装</w:t>
            </w:r>
            <w:r>
              <w:rPr>
                <w:rFonts w:ascii="宋体" w:hAnsi="宋体"/>
                <w:color w:val="auto"/>
                <w:szCs w:val="21"/>
              </w:rPr>
              <w:t>定额</w:t>
            </w:r>
            <w:r>
              <w:rPr>
                <w:rFonts w:hint="eastAsia" w:ascii="宋体" w:hAnsi="宋体"/>
                <w:color w:val="auto"/>
                <w:szCs w:val="21"/>
              </w:rPr>
              <w:t>中已包括了</w:t>
            </w:r>
            <w:r>
              <w:rPr>
                <w:rFonts w:ascii="宋体" w:hAnsi="宋体"/>
                <w:color w:val="auto"/>
                <w:szCs w:val="21"/>
              </w:rPr>
              <w:t>施工企业按照质量验收规范要求</w:t>
            </w:r>
            <w:r>
              <w:rPr>
                <w:rFonts w:hint="eastAsia" w:ascii="宋体" w:hAnsi="宋体"/>
                <w:color w:val="auto"/>
                <w:szCs w:val="21"/>
              </w:rPr>
              <w:t>所需的</w:t>
            </w:r>
            <w:r>
              <w:rPr>
                <w:rFonts w:ascii="宋体" w:hAnsi="宋体"/>
                <w:color w:val="auto"/>
                <w:szCs w:val="21"/>
              </w:rPr>
              <w:t>超声波探伤</w:t>
            </w:r>
            <w:r>
              <w:rPr>
                <w:rFonts w:hint="eastAsia" w:ascii="宋体" w:hAnsi="宋体"/>
                <w:color w:val="auto"/>
                <w:szCs w:val="21"/>
              </w:rPr>
              <w:t>费用，但未包括</w:t>
            </w:r>
            <w:r>
              <w:rPr>
                <w:rFonts w:ascii="宋体" w:hAnsi="宋体"/>
                <w:color w:val="auto"/>
                <w:szCs w:val="21"/>
              </w:rPr>
              <w:t>X光拍片检测</w:t>
            </w:r>
            <w:r>
              <w:rPr>
                <w:rFonts w:hint="eastAsia" w:ascii="宋体" w:hAnsi="宋体"/>
                <w:color w:val="auto"/>
                <w:szCs w:val="21"/>
              </w:rPr>
              <w:t>费用，</w:t>
            </w:r>
            <w:r>
              <w:rPr>
                <w:rFonts w:ascii="宋体" w:hAnsi="宋体"/>
                <w:color w:val="auto"/>
                <w:szCs w:val="21"/>
              </w:rPr>
              <w:t>如设计要求</w:t>
            </w:r>
            <w:r>
              <w:rPr>
                <w:rFonts w:hint="eastAsia" w:ascii="宋体" w:hAnsi="宋体"/>
                <w:color w:val="auto"/>
                <w:szCs w:val="21"/>
              </w:rPr>
              <w:t>，</w:t>
            </w:r>
            <w:r>
              <w:rPr>
                <w:rFonts w:ascii="宋体" w:hAnsi="宋体"/>
                <w:color w:val="auto"/>
                <w:szCs w:val="21"/>
              </w:rPr>
              <w:t>X光拍片检测</w:t>
            </w:r>
            <w:r>
              <w:rPr>
                <w:rFonts w:hint="eastAsia" w:ascii="宋体" w:hAnsi="宋体"/>
                <w:color w:val="auto"/>
                <w:szCs w:val="21"/>
              </w:rPr>
              <w:t>费用另行计取</w:t>
            </w:r>
            <w:r>
              <w:rPr>
                <w:rFonts w:ascii="宋体" w:hAnsi="宋体"/>
                <w:color w:val="auto"/>
                <w:szCs w:val="21"/>
              </w:rPr>
              <w:t>。</w:t>
            </w:r>
          </w:p>
          <w:p>
            <w:pPr>
              <w:tabs>
                <w:tab w:val="left" w:pos="851"/>
              </w:tabs>
              <w:spacing w:line="264" w:lineRule="auto"/>
              <w:ind w:firstLine="422" w:firstLineChars="201"/>
              <w:rPr>
                <w:rFonts w:ascii="宋体" w:hAnsi="宋体" w:eastAsia="宋体"/>
                <w:color w:val="auto"/>
                <w:szCs w:val="21"/>
              </w:rPr>
            </w:pPr>
            <w:r>
              <w:rPr>
                <w:rFonts w:hint="eastAsia" w:ascii="宋体" w:hAnsi="宋体"/>
                <w:color w:val="auto"/>
                <w:szCs w:val="21"/>
              </w:rPr>
              <w:t>5．钢网架安装按平面网格网架安装考虑，如设计为筒壳、球壳及其他曲面结构时，安装人工、机械乘以系数1.2。</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6．钢桁架安装按直线型桁架安装考虑，如设计为曲线、折线型或其他非直线型桁架，安装人工、机械乘以系数1.2。</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7. 本补充定额所列钢结构构件按分段</w:t>
            </w:r>
            <w:r>
              <w:rPr>
                <w:rFonts w:hint="eastAsia" w:ascii="宋体" w:hAnsi="宋体"/>
                <w:color w:val="auto"/>
                <w:szCs w:val="21"/>
                <w:highlight w:val="none"/>
              </w:rPr>
              <w:t>、整体</w:t>
            </w:r>
            <w:r>
              <w:rPr>
                <w:rFonts w:hint="eastAsia" w:ascii="宋体" w:hAnsi="宋体"/>
                <w:color w:val="auto"/>
                <w:szCs w:val="21"/>
              </w:rPr>
              <w:t>制作并运输至施工现场</w:t>
            </w:r>
            <w:r>
              <w:rPr>
                <w:rFonts w:hint="eastAsia" w:ascii="宋体" w:hAnsi="宋体"/>
                <w:color w:val="auto"/>
                <w:szCs w:val="21"/>
                <w:highlight w:val="none"/>
              </w:rPr>
              <w:t>综合</w:t>
            </w:r>
            <w:r>
              <w:rPr>
                <w:rFonts w:hint="eastAsia" w:ascii="宋体" w:hAnsi="宋体"/>
                <w:color w:val="auto"/>
                <w:szCs w:val="21"/>
              </w:rPr>
              <w:t>考虑，构件现场拼装套用构件拼装定额。</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8．本补充定额</w:t>
            </w:r>
            <w:r>
              <w:rPr>
                <w:rFonts w:hint="eastAsia" w:ascii="宋体" w:hAnsi="宋体" w:eastAsia="宋体" w:cs="Times New Roman"/>
                <w:color w:val="auto"/>
                <w:szCs w:val="21"/>
              </w:rPr>
              <w:t>钢结构构件拼装所需的现场拼装平台</w:t>
            </w:r>
            <w:r>
              <w:rPr>
                <w:rFonts w:hint="eastAsia" w:ascii="宋体" w:hAnsi="宋体"/>
                <w:color w:val="auto"/>
                <w:szCs w:val="21"/>
              </w:rPr>
              <w:t>，套用《浙江省房屋建筑与装饰工程预算定额》（2018版）第六章“金属结构工程”中现场拼装平台摊销定额项目。</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9. 构件安装、拼装和措施项目所涉构件质量为设计图示构件质量。</w:t>
            </w:r>
          </w:p>
          <w:p>
            <w:pPr>
              <w:tabs>
                <w:tab w:val="left" w:pos="851"/>
              </w:tabs>
              <w:spacing w:line="264" w:lineRule="auto"/>
              <w:ind w:firstLine="422" w:firstLineChars="201"/>
              <w:rPr>
                <w:rFonts w:hint="eastAsia" w:ascii="宋体" w:hAnsi="宋体"/>
                <w:color w:val="auto"/>
                <w:szCs w:val="21"/>
              </w:rPr>
            </w:pPr>
            <w:r>
              <w:rPr>
                <w:rFonts w:hint="eastAsia" w:ascii="宋体" w:hAnsi="宋体"/>
                <w:color w:val="auto"/>
                <w:szCs w:val="21"/>
              </w:rPr>
              <w:t xml:space="preserve">10. </w:t>
            </w:r>
            <w:r>
              <w:rPr>
                <w:rFonts w:hint="eastAsia" w:ascii="宋体" w:hAnsi="宋体"/>
                <w:color w:val="auto"/>
                <w:szCs w:val="21"/>
                <w:lang w:val="en-US" w:eastAsia="zh-CN"/>
              </w:rPr>
              <w:t>大跨度</w:t>
            </w:r>
            <w:r>
              <w:rPr>
                <w:rFonts w:hint="eastAsia" w:ascii="宋体" w:hAnsi="宋体"/>
                <w:color w:val="auto"/>
                <w:szCs w:val="21"/>
              </w:rPr>
              <w:t>钢结构工程中的</w:t>
            </w:r>
            <w:r>
              <w:rPr>
                <w:rFonts w:hint="eastAsia" w:ascii="宋体" w:hAnsi="宋体"/>
                <w:color w:val="auto"/>
                <w:szCs w:val="21"/>
                <w:lang w:val="en-US" w:eastAsia="zh-CN"/>
              </w:rPr>
              <w:t>钢屋架、</w:t>
            </w:r>
            <w:r>
              <w:rPr>
                <w:rFonts w:hint="eastAsia" w:ascii="宋体" w:hAnsi="宋体"/>
                <w:color w:val="auto"/>
                <w:szCs w:val="21"/>
              </w:rPr>
              <w:t>钢柱、钢梁、</w:t>
            </w:r>
            <w:r>
              <w:rPr>
                <w:rFonts w:hint="eastAsia" w:ascii="宋体" w:hAnsi="宋体"/>
                <w:color w:val="auto"/>
                <w:szCs w:val="21"/>
                <w:lang w:val="en-US" w:eastAsia="zh-CN"/>
              </w:rPr>
              <w:t>跨度36米以内的钢网架、</w:t>
            </w:r>
            <w:r>
              <w:rPr>
                <w:rFonts w:hint="eastAsia" w:ascii="宋体" w:hAnsi="宋体"/>
                <w:color w:val="auto"/>
                <w:szCs w:val="21"/>
              </w:rPr>
              <w:t>质量40t以内的钢桁架、支撑等构件</w:t>
            </w:r>
            <w:r>
              <w:rPr>
                <w:rFonts w:hint="eastAsia" w:ascii="宋体" w:hAnsi="宋体"/>
                <w:color w:val="auto"/>
                <w:szCs w:val="21"/>
                <w:lang w:val="en-US" w:eastAsia="zh-CN"/>
              </w:rPr>
              <w:t>安装</w:t>
            </w:r>
            <w:r>
              <w:rPr>
                <w:rFonts w:hint="eastAsia" w:ascii="宋体" w:hAnsi="宋体"/>
                <w:color w:val="auto"/>
                <w:szCs w:val="21"/>
              </w:rPr>
              <w:t>套用</w:t>
            </w:r>
            <w:r>
              <w:rPr>
                <w:rFonts w:hint="eastAsia" w:ascii="宋体" w:hAnsi="宋体"/>
                <w:color w:val="auto"/>
                <w:szCs w:val="21"/>
                <w:lang w:val="en-US" w:eastAsia="zh-CN"/>
              </w:rPr>
              <w:t>18定额</w:t>
            </w:r>
            <w:r>
              <w:rPr>
                <w:rFonts w:hint="eastAsia" w:ascii="宋体" w:hAnsi="宋体"/>
                <w:color w:val="auto"/>
                <w:szCs w:val="21"/>
              </w:rPr>
              <w:t>第六章“金属结构工程”厂（库）房钢结构相应项目；跨度大于36米、小于60米的钢网架吊装按</w:t>
            </w:r>
            <w:r>
              <w:rPr>
                <w:rFonts w:hint="eastAsia" w:ascii="宋体" w:hAnsi="宋体"/>
                <w:color w:val="auto"/>
                <w:szCs w:val="21"/>
                <w:lang w:val="en-US" w:eastAsia="zh-CN"/>
              </w:rPr>
              <w:t>18定额</w:t>
            </w:r>
            <w:r>
              <w:rPr>
                <w:rFonts w:hint="eastAsia" w:ascii="宋体" w:hAnsi="宋体"/>
                <w:color w:val="auto"/>
                <w:szCs w:val="21"/>
              </w:rPr>
              <w:t>第六章“金属结构工程”钢网架相应项目乘以系数1.05。跨度大于60米的钢网架吊装按18定额第六章“金属结构工程”钢网架相应项目乘以系数1.1。</w:t>
            </w:r>
          </w:p>
          <w:p>
            <w:pPr>
              <w:tabs>
                <w:tab w:val="left" w:pos="851"/>
              </w:tabs>
              <w:spacing w:line="264" w:lineRule="auto"/>
              <w:ind w:firstLine="422" w:firstLineChars="201"/>
              <w:rPr>
                <w:rFonts w:hint="eastAsia" w:ascii="宋体" w:hAnsi="宋体"/>
                <w:color w:val="auto"/>
                <w:szCs w:val="21"/>
              </w:rPr>
            </w:pPr>
            <w:r>
              <w:rPr>
                <w:rFonts w:hint="eastAsia" w:ascii="宋体" w:hAnsi="宋体"/>
                <w:color w:val="auto"/>
                <w:szCs w:val="21"/>
              </w:rPr>
              <w:t>设计文件或施工组织设计文件有明确要求钢构件需要分段制作并运输至施工现场时，钢网架跨度36米</w:t>
            </w:r>
            <w:r>
              <w:rPr>
                <w:rFonts w:hint="eastAsia" w:ascii="宋体" w:hAnsi="宋体"/>
                <w:color w:val="auto"/>
                <w:szCs w:val="21"/>
                <w:lang w:val="en-US" w:eastAsia="zh-CN"/>
              </w:rPr>
              <w:t>以内</w:t>
            </w:r>
            <w:r>
              <w:rPr>
                <w:rFonts w:hint="eastAsia" w:ascii="宋体" w:hAnsi="宋体"/>
                <w:color w:val="auto"/>
                <w:szCs w:val="21"/>
              </w:rPr>
              <w:t>的，只需考虑现场拼装平台摊销；跨度大于36米、小于60米的钢网架除套用18版定额第六章现场拼装平台摊销外，其构件拼装、吊装措施费按“大跨度钢结构工程补充定额”相应定额乘系数0.8；跨度大于60米的钢网架除套用18定额第六章现场拼装平台摊销外，其构件拼装、吊装措施费按“大跨度钢结构工程补充定额”执行。</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11. 本补充定额所列的吊装施工措施综合考虑了单管支撑、格构支撑、预埋螺栓、支撑架顶座、支撑架底座、联系桁架等内容</w:t>
            </w:r>
            <w:r>
              <w:rPr>
                <w:rFonts w:hint="eastAsia" w:ascii="宋体" w:hAnsi="宋体"/>
                <w:color w:val="auto"/>
                <w:szCs w:val="21"/>
                <w:lang w:eastAsia="zh-CN"/>
              </w:rPr>
              <w:t>；</w:t>
            </w:r>
            <w:r>
              <w:rPr>
                <w:rFonts w:hint="eastAsia" w:ascii="宋体" w:hAnsi="宋体"/>
                <w:color w:val="auto"/>
                <w:szCs w:val="21"/>
                <w:lang w:val="en-US" w:eastAsia="zh-CN"/>
              </w:rPr>
              <w:t>未包括支撑架独立基础及楼地面加固</w:t>
            </w:r>
            <w:r>
              <w:rPr>
                <w:rFonts w:hint="eastAsia" w:ascii="宋体" w:hAnsi="宋体"/>
                <w:color w:val="auto"/>
                <w:szCs w:val="21"/>
              </w:rPr>
              <w:t>。</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12. 提升施工措施综合考虑了柱顶提升架、门式提升架、独立提升架、提升下锚点、临时支撑架等内容。</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13. 滑移施工措施综合考虑了轨道梁、轨道梁支撑、滑移轨道、滑移拼装平台支撑、限位板及预埋件等内容。</w:t>
            </w:r>
          </w:p>
          <w:p>
            <w:pPr>
              <w:tabs>
                <w:tab w:val="left" w:pos="851"/>
              </w:tabs>
              <w:spacing w:line="264" w:lineRule="auto"/>
              <w:ind w:firstLine="422" w:firstLineChars="201"/>
              <w:rPr>
                <w:rFonts w:ascii="宋体" w:hAnsi="宋体"/>
                <w:color w:val="auto"/>
                <w:szCs w:val="21"/>
                <w:highlight w:val="none"/>
              </w:rPr>
            </w:pPr>
            <w:r>
              <w:rPr>
                <w:rFonts w:hint="eastAsia" w:ascii="宋体" w:hAnsi="宋体"/>
                <w:color w:val="auto"/>
                <w:szCs w:val="21"/>
                <w:highlight w:val="none"/>
              </w:rPr>
              <w:t>14. 钢结构网架高空散</w:t>
            </w:r>
            <w:r>
              <w:rPr>
                <w:rFonts w:hint="eastAsia" w:ascii="宋体" w:hAnsi="宋体"/>
                <w:color w:val="auto"/>
                <w:szCs w:val="21"/>
                <w:highlight w:val="none"/>
                <w:lang w:val="en-US" w:eastAsia="zh-CN"/>
              </w:rPr>
              <w:t>装</w:t>
            </w:r>
            <w:r>
              <w:rPr>
                <w:rFonts w:hint="eastAsia" w:ascii="宋体" w:hAnsi="宋体"/>
                <w:color w:val="auto"/>
                <w:szCs w:val="21"/>
                <w:highlight w:val="none"/>
              </w:rPr>
              <w:t>时安装支撑架</w:t>
            </w:r>
            <w:r>
              <w:rPr>
                <w:rFonts w:hint="eastAsia" w:ascii="宋体" w:hAnsi="宋体"/>
                <w:color w:val="auto"/>
                <w:szCs w:val="21"/>
                <w:highlight w:val="none"/>
                <w:lang w:val="en-US" w:eastAsia="zh-CN"/>
              </w:rPr>
              <w:t>搭设高度小于8米，套用</w:t>
            </w:r>
            <w:r>
              <w:rPr>
                <w:rFonts w:hint="eastAsia" w:ascii="宋体" w:hAnsi="宋体"/>
                <w:color w:val="auto"/>
                <w:szCs w:val="21"/>
                <w:highlight w:val="none"/>
              </w:rPr>
              <w:t>“工具式支撑架及模板补充定额”</w:t>
            </w:r>
            <w:r>
              <w:rPr>
                <w:rFonts w:hint="eastAsia" w:ascii="宋体" w:hAnsi="宋体"/>
                <w:color w:val="auto"/>
                <w:szCs w:val="21"/>
                <w:highlight w:val="none"/>
                <w:lang w:val="en-US" w:eastAsia="zh-CN"/>
              </w:rPr>
              <w:t>一般</w:t>
            </w:r>
            <w:r>
              <w:rPr>
                <w:rFonts w:hint="eastAsia" w:ascii="宋体" w:hAnsi="宋体"/>
                <w:color w:val="auto"/>
                <w:szCs w:val="21"/>
                <w:highlight w:val="none"/>
              </w:rPr>
              <w:t>支撑架相应定额</w:t>
            </w:r>
            <w:r>
              <w:rPr>
                <w:rFonts w:hint="eastAsia" w:ascii="宋体" w:hAnsi="宋体"/>
                <w:color w:val="auto"/>
                <w:szCs w:val="21"/>
                <w:highlight w:val="none"/>
                <w:lang w:eastAsia="zh-CN"/>
              </w:rPr>
              <w:t>；</w:t>
            </w:r>
            <w:r>
              <w:rPr>
                <w:rFonts w:hint="eastAsia" w:ascii="宋体" w:hAnsi="宋体"/>
                <w:color w:val="auto"/>
                <w:szCs w:val="21"/>
                <w:highlight w:val="none"/>
              </w:rPr>
              <w:t>搭设高度</w:t>
            </w:r>
            <w:r>
              <w:rPr>
                <w:rFonts w:hint="eastAsia" w:ascii="宋体" w:hAnsi="宋体"/>
                <w:color w:val="auto"/>
                <w:szCs w:val="21"/>
                <w:highlight w:val="none"/>
                <w:lang w:val="en-US" w:eastAsia="zh-CN"/>
              </w:rPr>
              <w:t>在</w:t>
            </w:r>
            <w:r>
              <w:rPr>
                <w:rFonts w:hint="eastAsia" w:ascii="宋体" w:hAnsi="宋体"/>
                <w:color w:val="auto"/>
                <w:szCs w:val="21"/>
                <w:highlight w:val="none"/>
              </w:rPr>
              <w:t>8米</w:t>
            </w:r>
            <w:r>
              <w:rPr>
                <w:rFonts w:hint="eastAsia" w:ascii="宋体" w:hAnsi="宋体"/>
                <w:color w:val="auto"/>
                <w:szCs w:val="21"/>
                <w:highlight w:val="none"/>
                <w:lang w:val="en-US" w:eastAsia="zh-CN"/>
              </w:rPr>
              <w:t>及以上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套用</w:t>
            </w:r>
            <w:r>
              <w:rPr>
                <w:rFonts w:hint="eastAsia" w:ascii="宋体" w:hAnsi="宋体"/>
                <w:color w:val="auto"/>
                <w:szCs w:val="21"/>
                <w:highlight w:val="none"/>
              </w:rPr>
              <w:t>“工具式支撑架及模板补充定额”</w:t>
            </w:r>
            <w:r>
              <w:rPr>
                <w:rFonts w:hint="eastAsia" w:ascii="宋体" w:hAnsi="宋体"/>
                <w:color w:val="auto"/>
                <w:szCs w:val="21"/>
                <w:highlight w:val="none"/>
                <w:lang w:val="en-US" w:eastAsia="zh-CN"/>
              </w:rPr>
              <w:t>超危</w:t>
            </w:r>
            <w:r>
              <w:rPr>
                <w:rFonts w:hint="eastAsia" w:ascii="宋体" w:hAnsi="宋体"/>
                <w:color w:val="auto"/>
                <w:szCs w:val="21"/>
                <w:highlight w:val="none"/>
              </w:rPr>
              <w:t>支撑架相应定额。</w:t>
            </w:r>
          </w:p>
          <w:p>
            <w:pPr>
              <w:tabs>
                <w:tab w:val="left" w:pos="851"/>
              </w:tabs>
              <w:spacing w:line="264" w:lineRule="auto"/>
              <w:ind w:firstLine="422" w:firstLineChars="201"/>
              <w:rPr>
                <w:rFonts w:ascii="宋体" w:hAnsi="宋体"/>
                <w:color w:val="auto"/>
                <w:szCs w:val="21"/>
                <w:highlight w:val="none"/>
              </w:rPr>
            </w:pPr>
            <w:r>
              <w:rPr>
                <w:rFonts w:hint="eastAsia"/>
                <w:color w:val="auto"/>
                <w:highlight w:val="none"/>
              </w:rPr>
              <w:t>1</w:t>
            </w:r>
            <w:r>
              <w:rPr>
                <w:rFonts w:hint="eastAsia"/>
                <w:color w:val="auto"/>
                <w:highlight w:val="none"/>
                <w:lang w:val="en-US" w:eastAsia="zh-CN"/>
              </w:rPr>
              <w:t>5</w:t>
            </w:r>
            <w:r>
              <w:rPr>
                <w:rFonts w:hint="eastAsia" w:ascii="宋体" w:hAnsi="宋体"/>
                <w:color w:val="auto"/>
                <w:szCs w:val="21"/>
                <w:highlight w:val="none"/>
              </w:rPr>
              <w:t>. 本补充定额</w:t>
            </w:r>
            <w:r>
              <w:rPr>
                <w:rFonts w:hint="eastAsia"/>
                <w:color w:val="auto"/>
                <w:highlight w:val="none"/>
              </w:rPr>
              <w:t>钢构件吊装、提升、滑移就位高度综合考虑，实际不同</w:t>
            </w:r>
            <w:r>
              <w:rPr>
                <w:rFonts w:hint="eastAsia"/>
                <w:color w:val="auto"/>
                <w:highlight w:val="none"/>
                <w:lang w:val="en-US" w:eastAsia="zh-CN"/>
              </w:rPr>
              <w:t>不予</w:t>
            </w:r>
            <w:r>
              <w:rPr>
                <w:rFonts w:hint="eastAsia"/>
                <w:color w:val="auto"/>
                <w:highlight w:val="none"/>
              </w:rPr>
              <w:t>调整。</w:t>
            </w:r>
          </w:p>
          <w:p>
            <w:pPr>
              <w:tabs>
                <w:tab w:val="left" w:pos="851"/>
              </w:tabs>
              <w:spacing w:line="264" w:lineRule="auto"/>
              <w:ind w:firstLine="422" w:firstLineChars="201"/>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大跨度</w:t>
            </w:r>
            <w:r>
              <w:rPr>
                <w:rFonts w:hint="eastAsia" w:ascii="宋体" w:hAnsi="宋体"/>
                <w:color w:val="auto"/>
                <w:szCs w:val="21"/>
                <w:highlight w:val="none"/>
              </w:rPr>
              <w:t>钢结构施工措施应按设计或施工组织措施专项方案确定；无设计或施工组织措施专项方案时，按本补充定额执行，实际项目措施费用按经审批论证后的专项方案计取。</w:t>
            </w:r>
          </w:p>
          <w:p>
            <w:pPr>
              <w:spacing w:beforeLines="50" w:afterLines="50" w:line="264" w:lineRule="auto"/>
              <w:rPr>
                <w:rFonts w:ascii="宋体" w:hAnsi="宋体"/>
                <w:color w:val="auto"/>
                <w:szCs w:val="21"/>
                <w:highlight w:val="none"/>
              </w:rPr>
            </w:pPr>
          </w:p>
          <w:p>
            <w:pPr>
              <w:spacing w:beforeLines="50" w:afterLines="50" w:line="264" w:lineRule="auto"/>
              <w:rPr>
                <w:rFonts w:ascii="宋体" w:hAnsi="宋体"/>
                <w:color w:val="auto"/>
                <w:szCs w:val="21"/>
              </w:rPr>
            </w:pPr>
          </w:p>
          <w:p>
            <w:pPr>
              <w:spacing w:beforeLines="50" w:afterLines="50" w:line="264" w:lineRule="auto"/>
              <w:jc w:val="center"/>
              <w:rPr>
                <w:rFonts w:ascii="Times New Roman" w:hAnsi="Times New Roman"/>
                <w:b/>
                <w:color w:val="auto"/>
                <w:sz w:val="32"/>
                <w:szCs w:val="32"/>
              </w:rPr>
            </w:pPr>
            <w:r>
              <w:rPr>
                <w:rFonts w:hint="eastAsia" w:ascii="Times New Roman" w:hAnsi="Times New Roman"/>
                <w:b/>
                <w:color w:val="auto"/>
                <w:sz w:val="32"/>
                <w:szCs w:val="32"/>
              </w:rPr>
              <w:t>工程量计算规则</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一、钢构件安装</w:t>
            </w:r>
            <w:r>
              <w:rPr>
                <w:rFonts w:hint="eastAsia" w:ascii="宋体" w:hAnsi="宋体"/>
                <w:color w:val="auto"/>
                <w:szCs w:val="21"/>
                <w:highlight w:val="none"/>
              </w:rPr>
              <w:t>、拼装及</w:t>
            </w:r>
            <w:r>
              <w:rPr>
                <w:rFonts w:hint="eastAsia" w:ascii="宋体" w:hAnsi="宋体"/>
                <w:color w:val="auto"/>
                <w:szCs w:val="21"/>
              </w:rPr>
              <w:t>措施项目工程量按设计图示尺寸以质量计算，不扣除单个0.3㎡以内的孔洞质量，焊缝、铆钉、螺栓等不另增加质量。</w:t>
            </w:r>
          </w:p>
          <w:p>
            <w:pPr>
              <w:tabs>
                <w:tab w:val="left" w:pos="851"/>
              </w:tabs>
              <w:spacing w:line="264" w:lineRule="auto"/>
              <w:ind w:firstLine="422" w:firstLineChars="201"/>
              <w:rPr>
                <w:rFonts w:ascii="宋体" w:hAnsi="宋体"/>
                <w:color w:val="auto"/>
                <w:szCs w:val="21"/>
              </w:rPr>
            </w:pPr>
            <w:r>
              <w:rPr>
                <w:rFonts w:hint="eastAsia" w:ascii="宋体" w:hAnsi="宋体"/>
                <w:color w:val="auto"/>
                <w:szCs w:val="21"/>
              </w:rPr>
              <w:t>二、钢网架安装工程量不扣除孔眼的质量，焊缝、铆钉等不另增加质量。焊接空心球网架质量包括连接钢管杆件、连接球、支托和网架支座等零件的质量；螺栓球节点网架质量包括连接钢管杆件（含高强螺栓、销子、套筒、锥头或封板）、螺栓球、支托和网架支座等零件的质量。</w:t>
            </w:r>
          </w:p>
          <w:p>
            <w:pPr>
              <w:widowControl/>
              <w:textAlignment w:val="center"/>
              <w:rPr>
                <w:rFonts w:ascii="宋体" w:hAnsi="宋体" w:eastAsia="宋体" w:cs="宋体"/>
                <w:b/>
                <w:bCs/>
                <w:color w:val="auto"/>
                <w:sz w:val="28"/>
                <w:szCs w:val="28"/>
              </w:rPr>
            </w:pPr>
          </w:p>
          <w:p>
            <w:pPr>
              <w:widowControl/>
              <w:textAlignment w:val="center"/>
              <w:rPr>
                <w:rFonts w:ascii="宋体" w:hAnsi="宋体" w:eastAsia="宋体" w:cs="宋体"/>
                <w:b/>
                <w:bCs/>
                <w:color w:val="auto"/>
                <w:sz w:val="28"/>
                <w:szCs w:val="28"/>
              </w:rPr>
            </w:pPr>
          </w:p>
          <w:p>
            <w:pPr>
              <w:widowControl/>
              <w:textAlignment w:val="center"/>
              <w:rPr>
                <w:rFonts w:ascii="宋体" w:hAnsi="宋体" w:eastAsia="宋体" w:cs="宋体"/>
                <w:b/>
                <w:bCs/>
                <w:color w:val="auto"/>
                <w:sz w:val="28"/>
                <w:szCs w:val="28"/>
              </w:rPr>
            </w:pPr>
          </w:p>
          <w:p>
            <w:pPr>
              <w:widowControl/>
              <w:textAlignment w:val="center"/>
              <w:rPr>
                <w:rFonts w:ascii="宋体" w:hAnsi="宋体" w:eastAsia="宋体" w:cs="宋体"/>
                <w:b/>
                <w:bCs/>
                <w:color w:val="auto"/>
                <w:sz w:val="28"/>
                <w:szCs w:val="28"/>
              </w:rPr>
            </w:pPr>
          </w:p>
          <w:p>
            <w:pPr>
              <w:widowControl/>
              <w:textAlignment w:val="center"/>
              <w:rPr>
                <w:rFonts w:ascii="宋体" w:hAnsi="宋体" w:eastAsia="宋体" w:cs="宋体"/>
                <w:b/>
                <w:bCs/>
                <w:color w:val="auto"/>
                <w:sz w:val="28"/>
                <w:szCs w:val="28"/>
              </w:rPr>
            </w:pPr>
          </w:p>
          <w:p>
            <w:pPr>
              <w:widowControl/>
              <w:textAlignment w:val="center"/>
              <w:rPr>
                <w:rFonts w:ascii="宋体" w:hAnsi="宋体" w:eastAsia="宋体" w:cs="宋体"/>
                <w:b/>
                <w:bCs/>
                <w:color w:val="auto"/>
                <w:sz w:val="28"/>
                <w:szCs w:val="28"/>
              </w:rPr>
            </w:pPr>
          </w:p>
          <w:p>
            <w:pPr>
              <w:widowControl/>
              <w:ind w:firstLine="2249" w:firstLineChars="800"/>
              <w:textAlignment w:val="center"/>
              <w:rPr>
                <w:rFonts w:ascii="宋体" w:hAnsi="宋体" w:eastAsia="宋体" w:cs="宋体"/>
                <w:b/>
                <w:bCs/>
                <w:color w:val="auto"/>
                <w:sz w:val="28"/>
                <w:szCs w:val="28"/>
              </w:rPr>
            </w:pPr>
          </w:p>
          <w:p>
            <w:pPr>
              <w:widowControl/>
              <w:ind w:firstLine="2249" w:firstLineChars="800"/>
              <w:textAlignment w:val="center"/>
              <w:rPr>
                <w:rFonts w:ascii="宋体" w:hAnsi="宋体" w:eastAsia="宋体" w:cs="宋体"/>
                <w:b/>
                <w:bCs/>
                <w:color w:val="auto"/>
                <w:sz w:val="28"/>
                <w:szCs w:val="28"/>
              </w:rPr>
            </w:pPr>
          </w:p>
          <w:p>
            <w:pPr>
              <w:widowControl/>
              <w:textAlignment w:val="center"/>
              <w:rPr>
                <w:rFonts w:ascii="宋体" w:hAnsi="宋体" w:eastAsia="宋体" w:cs="宋体"/>
                <w:b/>
                <w:bCs/>
                <w:color w:val="auto"/>
                <w:sz w:val="28"/>
                <w:szCs w:val="28"/>
              </w:rPr>
            </w:pPr>
          </w:p>
          <w:p>
            <w:pPr>
              <w:widowControl/>
              <w:ind w:firstLine="2381" w:firstLineChars="847"/>
              <w:jc w:val="both"/>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大跨度及空间钢结构补充定额</w:t>
            </w:r>
          </w:p>
        </w:tc>
      </w:tr>
    </w:tbl>
    <w:p>
      <w:pPr>
        <w:rPr>
          <w:color w:val="auto"/>
        </w:rPr>
      </w:pPr>
    </w:p>
    <w:tbl>
      <w:tblPr>
        <w:tblStyle w:val="10"/>
        <w:tblW w:w="5532" w:type="pct"/>
        <w:tblInd w:w="0" w:type="dxa"/>
        <w:tblLayout w:type="fixed"/>
        <w:tblCellMar>
          <w:top w:w="0" w:type="dxa"/>
          <w:left w:w="108" w:type="dxa"/>
          <w:bottom w:w="0" w:type="dxa"/>
          <w:right w:w="108" w:type="dxa"/>
        </w:tblCellMar>
      </w:tblPr>
      <w:tblGrid>
        <w:gridCol w:w="9429"/>
      </w:tblGrid>
      <w:tr>
        <w:tblPrEx>
          <w:tblCellMar>
            <w:top w:w="0" w:type="dxa"/>
            <w:left w:w="108" w:type="dxa"/>
            <w:bottom w:w="0" w:type="dxa"/>
            <w:right w:w="108" w:type="dxa"/>
          </w:tblCellMar>
        </w:tblPrEx>
        <w:trPr>
          <w:trHeight w:val="485" w:hRule="atLeast"/>
        </w:trPr>
        <w:tc>
          <w:tcPr>
            <w:tcW w:w="5000" w:type="pct"/>
            <w:tcBorders>
              <w:top w:val="nil"/>
              <w:left w:val="nil"/>
              <w:bottom w:val="nil"/>
              <w:right w:val="nil"/>
            </w:tcBorders>
            <w:shd w:val="clear" w:color="auto" w:fill="auto"/>
            <w:noWrap/>
            <w:vAlign w:val="center"/>
          </w:tcPr>
          <w:p>
            <w:pPr>
              <w:widowControl/>
              <w:numPr>
                <w:ilvl w:val="0"/>
                <w:numId w:val="1"/>
              </w:numPr>
              <w:ind w:left="427" w:leftChars="-373" w:hanging="1210" w:hangingChars="502"/>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钢桁架</w:t>
            </w:r>
          </w:p>
          <w:p>
            <w:pPr>
              <w:widowControl/>
              <w:ind w:left="-1050" w:leftChars="-50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 xml:space="preserve"> （1）钢桁架安装</w:t>
            </w:r>
          </w:p>
          <w:p>
            <w:pPr>
              <w:widowControl/>
              <w:ind w:left="-1050" w:leftChars="-500"/>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（1）（）</w:t>
            </w:r>
          </w:p>
        </w:tc>
      </w:tr>
      <w:tr>
        <w:tblPrEx>
          <w:tblCellMar>
            <w:top w:w="0" w:type="dxa"/>
            <w:left w:w="108" w:type="dxa"/>
            <w:bottom w:w="0" w:type="dxa"/>
            <w:right w:w="108" w:type="dxa"/>
          </w:tblCellMar>
        </w:tblPrEx>
        <w:trPr>
          <w:trHeight w:val="680" w:hRule="atLeast"/>
        </w:trPr>
        <w:tc>
          <w:tcPr>
            <w:tcW w:w="5000" w:type="pct"/>
            <w:tcBorders>
              <w:top w:val="nil"/>
              <w:left w:val="nil"/>
              <w:bottom w:val="nil"/>
              <w:right w:val="nil"/>
            </w:tcBorders>
            <w:shd w:val="clear" w:color="auto" w:fill="auto"/>
            <w:noWrap/>
            <w:vAlign w:val="center"/>
          </w:tcPr>
          <w:p>
            <w:pPr>
              <w:widowControl/>
              <w:ind w:left="900" w:hanging="900" w:hangingChars="500"/>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工作内容：场内转运、卸料、检验、划线、翻身就位、绑扎、吊装、校正、焊接及超探检验、固定、</w:t>
            </w:r>
          </w:p>
          <w:p>
            <w:pPr>
              <w:widowControl/>
              <w:ind w:left="893" w:leftChars="425" w:firstLine="0" w:firstLineChars="0"/>
              <w:jc w:val="lef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零星除锈、补漆、清理等。</w:t>
            </w:r>
          </w:p>
          <w:tbl>
            <w:tblPr>
              <w:tblStyle w:val="10"/>
              <w:tblW w:w="8373" w:type="dxa"/>
              <w:tblInd w:w="0" w:type="dxa"/>
              <w:tblLayout w:type="fixed"/>
              <w:tblCellMar>
                <w:top w:w="0" w:type="dxa"/>
                <w:left w:w="108" w:type="dxa"/>
                <w:bottom w:w="0" w:type="dxa"/>
                <w:right w:w="108" w:type="dxa"/>
              </w:tblCellMar>
            </w:tblPr>
            <w:tblGrid>
              <w:gridCol w:w="928"/>
              <w:gridCol w:w="216"/>
              <w:gridCol w:w="2503"/>
              <w:gridCol w:w="630"/>
              <w:gridCol w:w="1044"/>
              <w:gridCol w:w="255"/>
              <w:gridCol w:w="1251"/>
              <w:gridCol w:w="1546"/>
            </w:tblGrid>
            <w:tr>
              <w:tblPrEx>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ascii="宋体" w:hAnsi="宋体" w:eastAsia="宋体" w:cs="宋体"/>
                      <w:color w:val="auto"/>
                      <w:sz w:val="18"/>
                      <w:szCs w:val="18"/>
                    </w:rPr>
                  </w:pPr>
                </w:p>
              </w:tc>
              <w:tc>
                <w:tcPr>
                  <w:tcW w:w="2503" w:type="dxa"/>
                  <w:tcBorders>
                    <w:top w:val="nil"/>
                    <w:left w:val="nil"/>
                    <w:bottom w:val="single" w:color="000000" w:sz="4" w:space="0"/>
                    <w:right w:val="nil"/>
                  </w:tcBorders>
                  <w:shd w:val="clear" w:color="auto" w:fill="auto"/>
                  <w:vAlign w:val="center"/>
                </w:tcPr>
                <w:p>
                  <w:pPr>
                    <w:jc w:val="left"/>
                    <w:rPr>
                      <w:rFonts w:ascii="宋体" w:hAnsi="宋体" w:eastAsia="宋体" w:cs="宋体"/>
                      <w:color w:val="auto"/>
                      <w:sz w:val="18"/>
                      <w:szCs w:val="18"/>
                    </w:rPr>
                  </w:pPr>
                </w:p>
              </w:tc>
              <w:tc>
                <w:tcPr>
                  <w:tcW w:w="630" w:type="dxa"/>
                  <w:tcBorders>
                    <w:top w:val="nil"/>
                    <w:left w:val="nil"/>
                    <w:bottom w:val="single" w:color="000000" w:sz="4" w:space="0"/>
                    <w:right w:val="nil"/>
                  </w:tcBorders>
                  <w:shd w:val="clear" w:color="auto" w:fill="auto"/>
                  <w:vAlign w:val="center"/>
                </w:tcPr>
                <w:p>
                  <w:pPr>
                    <w:jc w:val="center"/>
                    <w:rPr>
                      <w:color w:val="auto"/>
                    </w:rPr>
                  </w:pPr>
                </w:p>
              </w:tc>
              <w:tc>
                <w:tcPr>
                  <w:tcW w:w="1044"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255"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1251"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kern w:val="0"/>
                      <w:sz w:val="18"/>
                      <w:szCs w:val="18"/>
                    </w:rPr>
                  </w:pPr>
                </w:p>
              </w:tc>
              <w:tc>
                <w:tcPr>
                  <w:tcW w:w="1546" w:type="dxa"/>
                  <w:tcBorders>
                    <w:top w:val="nil"/>
                    <w:left w:val="nil"/>
                    <w:bottom w:val="single" w:color="000000" w:sz="4" w:space="0"/>
                    <w:right w:val="nil"/>
                  </w:tcBorders>
                  <w:shd w:val="clear" w:color="auto" w:fill="auto"/>
                  <w:vAlign w:val="center"/>
                </w:tcPr>
                <w:p>
                  <w:pPr>
                    <w:widowControl/>
                    <w:ind w:left="-402" w:leftChars="-200" w:hanging="18" w:hangingChars="10"/>
                    <w:jc w:val="righ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计量单位：t</w:t>
                  </w:r>
                </w:p>
              </w:tc>
            </w:tr>
            <w:tr>
              <w:tblPrEx>
                <w:tblCellMar>
                  <w:top w:w="0" w:type="dxa"/>
                  <w:left w:w="108" w:type="dxa"/>
                  <w:bottom w:w="0" w:type="dxa"/>
                  <w:right w:w="108" w:type="dxa"/>
                </w:tblCellMar>
              </w:tblPrEx>
              <w:trPr>
                <w:trHeight w:val="41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定  额  编  号</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建6B-1</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建6B-2</w:t>
                  </w:r>
                </w:p>
              </w:tc>
            </w:tr>
            <w:tr>
              <w:tblPrEx>
                <w:tblCellMar>
                  <w:top w:w="0" w:type="dxa"/>
                  <w:left w:w="108" w:type="dxa"/>
                  <w:bottom w:w="0" w:type="dxa"/>
                  <w:right w:w="108" w:type="dxa"/>
                </w:tblCellMar>
              </w:tblPrEx>
              <w:trPr>
                <w:trHeight w:val="383" w:hRule="atLeast"/>
              </w:trPr>
              <w:tc>
                <w:tcPr>
                  <w:tcW w:w="5321" w:type="dxa"/>
                  <w:gridSpan w:val="5"/>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项  目</w:t>
                  </w:r>
                </w:p>
              </w:tc>
              <w:tc>
                <w:tcPr>
                  <w:tcW w:w="3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钢桁架</w:t>
                  </w:r>
                  <w:r>
                    <w:rPr>
                      <w:rFonts w:hint="eastAsia" w:ascii="宋体" w:hAnsi="宋体" w:eastAsia="宋体" w:cs="宋体"/>
                      <w:color w:val="auto"/>
                      <w:kern w:val="0"/>
                      <w:sz w:val="18"/>
                      <w:szCs w:val="18"/>
                      <w:highlight w:val="none"/>
                    </w:rPr>
                    <w:t>吊装</w:t>
                  </w:r>
                </w:p>
              </w:tc>
            </w:tr>
            <w:tr>
              <w:tblPrEx>
                <w:tblCellMar>
                  <w:top w:w="0" w:type="dxa"/>
                  <w:left w:w="108" w:type="dxa"/>
                  <w:bottom w:w="0" w:type="dxa"/>
                  <w:right w:w="108" w:type="dxa"/>
                </w:tblCellMar>
              </w:tblPrEx>
              <w:trPr>
                <w:trHeight w:val="488" w:hRule="atLeast"/>
              </w:trPr>
              <w:tc>
                <w:tcPr>
                  <w:tcW w:w="5321" w:type="dxa"/>
                  <w:gridSpan w:val="5"/>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p>
              </w:tc>
              <w:tc>
                <w:tcPr>
                  <w:tcW w:w="3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质量（t）</w:t>
                  </w:r>
                </w:p>
              </w:tc>
            </w:tr>
            <w:tr>
              <w:tblPrEx>
                <w:tblCellMar>
                  <w:top w:w="0" w:type="dxa"/>
                  <w:left w:w="108" w:type="dxa"/>
                  <w:bottom w:w="0" w:type="dxa"/>
                  <w:right w:w="108" w:type="dxa"/>
                </w:tblCellMar>
              </w:tblPrEx>
              <w:trPr>
                <w:trHeight w:val="413" w:hRule="atLeast"/>
              </w:trPr>
              <w:tc>
                <w:tcPr>
                  <w:tcW w:w="5321" w:type="dxa"/>
                  <w:gridSpan w:val="5"/>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＞100</w:t>
                  </w:r>
                </w:p>
              </w:tc>
            </w:tr>
            <w:tr>
              <w:tblPrEx>
                <w:tblCellMar>
                  <w:top w:w="0" w:type="dxa"/>
                  <w:left w:w="108" w:type="dxa"/>
                  <w:bottom w:w="0" w:type="dxa"/>
                  <w:right w:w="108" w:type="dxa"/>
                </w:tblCellMar>
              </w:tblPrEx>
              <w:trPr>
                <w:trHeight w:val="48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基     价  （元）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1468.96</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1791.05</w:t>
                  </w:r>
                </w:p>
              </w:tc>
            </w:tr>
            <w:tr>
              <w:tblPrEx>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其中</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人   工   费（元）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482.67</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395.87</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材   料   费（元）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212.66</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212.66</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机   械   费（元）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773.63</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1182.52</w:t>
                  </w:r>
                </w:p>
              </w:tc>
            </w:tr>
            <w:tr>
              <w:tblPrEx>
                <w:tblCellMar>
                  <w:top w:w="0" w:type="dxa"/>
                  <w:left w:w="108" w:type="dxa"/>
                  <w:bottom w:w="0" w:type="dxa"/>
                  <w:right w:w="108" w:type="dxa"/>
                </w:tblCellMar>
              </w:tblPrEx>
              <w:trPr>
                <w:trHeight w:val="458" w:hRule="atLeast"/>
              </w:trPr>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单价（元）</w:t>
                  </w:r>
                </w:p>
              </w:tc>
              <w:tc>
                <w:tcPr>
                  <w:tcW w:w="3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消耗量</w:t>
                  </w:r>
                </w:p>
              </w:tc>
            </w:tr>
            <w:tr>
              <w:tblPrEx>
                <w:tblCellMar>
                  <w:top w:w="0" w:type="dxa"/>
                  <w:left w:w="108" w:type="dxa"/>
                  <w:bottom w:w="0" w:type="dxa"/>
                  <w:right w:w="108" w:type="dxa"/>
                </w:tblCellMar>
              </w:tblPrEx>
              <w:trPr>
                <w:trHeight w:val="36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人工</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auto"/>
                    </w:rPr>
                  </w:pPr>
                  <w:r>
                    <w:rPr>
                      <w:rFonts w:hint="eastAsia" w:ascii="宋体" w:hAnsi="宋体" w:eastAsia="宋体" w:cs="宋体"/>
                      <w:color w:val="auto"/>
                      <w:kern w:val="0"/>
                      <w:sz w:val="18"/>
                      <w:szCs w:val="18"/>
                    </w:rPr>
                    <w:t>三类人工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工日</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155.00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3.114</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2.554</w:t>
                  </w:r>
                </w:p>
              </w:tc>
            </w:tr>
            <w:tr>
              <w:tblPrEx>
                <w:tblCellMar>
                  <w:top w:w="0" w:type="dxa"/>
                  <w:left w:w="108" w:type="dxa"/>
                  <w:bottom w:w="0" w:type="dxa"/>
                  <w:right w:w="108" w:type="dxa"/>
                </w:tblCellMar>
              </w:tblPrEx>
              <w:trPr>
                <w:trHeight w:val="317"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材料</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钢桁架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t</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（1.000）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金属结构铁件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5.60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4.488</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4.488</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二氧化碳气体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2.002</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2.002</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焊丝 φ3.2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10.78</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6.489</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6.489</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吊装夹具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0.025</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0.025</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钢丝绳 综合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6.45</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6.993</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6.993</w:t>
                  </w:r>
                </w:p>
              </w:tc>
            </w:tr>
            <w:tr>
              <w:tblPrEx>
                <w:tblCellMar>
                  <w:top w:w="0" w:type="dxa"/>
                  <w:left w:w="108" w:type="dxa"/>
                  <w:bottom w:w="0" w:type="dxa"/>
                  <w:right w:w="108" w:type="dxa"/>
                </w:tblCellMar>
              </w:tblPrEx>
              <w:trPr>
                <w:trHeight w:val="33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垫木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2328.00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0.013</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0.013</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 底漆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13.79</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2.120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2.120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环氧富锌底漆稀释剂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11.21</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0.170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0.170</w:t>
                  </w:r>
                </w:p>
              </w:tc>
            </w:tr>
            <w:tr>
              <w:tblPrEx>
                <w:tblCellMar>
                  <w:top w:w="0" w:type="dxa"/>
                  <w:left w:w="108" w:type="dxa"/>
                  <w:bottom w:w="0" w:type="dxa"/>
                  <w:right w:w="108" w:type="dxa"/>
                </w:tblCellMar>
              </w:tblPrEx>
              <w:trPr>
                <w:trHeight w:val="386"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 xml:space="preserve">其他材料费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6.430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6.430</w:t>
                  </w:r>
                </w:p>
              </w:tc>
            </w:tr>
            <w:tr>
              <w:tblPrEx>
                <w:tblCellMar>
                  <w:top w:w="0" w:type="dxa"/>
                  <w:left w:w="108" w:type="dxa"/>
                  <w:bottom w:w="0" w:type="dxa"/>
                  <w:right w:w="108" w:type="dxa"/>
                </w:tblCellMar>
              </w:tblPrEx>
              <w:trPr>
                <w:trHeight w:val="386"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机械</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履带式起重机 100t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2737.92</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0.264</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履带式起重机 </w:t>
                  </w:r>
                  <w:r>
                    <w:rPr>
                      <w:rFonts w:hint="eastAsia" w:ascii="宋体" w:hAnsi="宋体" w:eastAsia="宋体" w:cs="宋体"/>
                      <w:color w:val="auto"/>
                      <w:kern w:val="0"/>
                      <w:sz w:val="18"/>
                      <w:szCs w:val="18"/>
                      <w:lang w:val="en-US" w:eastAsia="zh-CN"/>
                    </w:rPr>
                    <w:t>20</w:t>
                  </w:r>
                  <w:r>
                    <w:rPr>
                      <w:rFonts w:hint="eastAsia" w:ascii="宋体" w:hAnsi="宋体" w:eastAsia="宋体" w:cs="宋体"/>
                      <w:color w:val="auto"/>
                      <w:kern w:val="0"/>
                      <w:sz w:val="18"/>
                      <w:szCs w:val="18"/>
                    </w:rPr>
                    <w:t>0t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4985.45</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0.2</w:t>
                  </w:r>
                  <w:r>
                    <w:rPr>
                      <w:rFonts w:hint="eastAsia" w:ascii="宋体" w:hAnsi="宋体" w:eastAsia="宋体" w:cs="宋体"/>
                      <w:color w:val="auto"/>
                      <w:kern w:val="0"/>
                      <w:sz w:val="18"/>
                      <w:szCs w:val="18"/>
                      <w:lang w:val="en-US" w:eastAsia="zh-CN"/>
                    </w:rPr>
                    <w:t>27</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交流弧焊机 32kV·A</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92.84</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0.158</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0.158</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二氧化碳气体保护焊机 500A</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132.92</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0.158</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0.158</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超声波探伤仪 0.0～10000mm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101.00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0.150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0.150</w:t>
                  </w:r>
                </w:p>
              </w:tc>
            </w:tr>
          </w:tbl>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ind w:left="900" w:hanging="900" w:hangingChars="500"/>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工作内容：场内转运、卸料、检验、划线、翻身就位、绑扎就位、提升、</w:t>
            </w:r>
            <w:r>
              <w:rPr>
                <w:rFonts w:hint="eastAsia" w:ascii="宋体" w:hAnsi="宋体" w:eastAsia="宋体" w:cs="宋体"/>
                <w:color w:val="auto"/>
                <w:kern w:val="0"/>
                <w:sz w:val="18"/>
                <w:szCs w:val="18"/>
                <w:lang w:val="en-US" w:eastAsia="zh-CN"/>
              </w:rPr>
              <w:t>吊装</w:t>
            </w:r>
            <w:r>
              <w:rPr>
                <w:rFonts w:hint="eastAsia" w:ascii="宋体" w:hAnsi="宋体" w:eastAsia="宋体" w:cs="宋体"/>
                <w:color w:val="auto"/>
                <w:kern w:val="0"/>
                <w:sz w:val="18"/>
                <w:szCs w:val="18"/>
              </w:rPr>
              <w:t>滑移、校正、</w:t>
            </w:r>
          </w:p>
          <w:p>
            <w:pPr>
              <w:widowControl/>
              <w:ind w:left="893" w:leftChars="425" w:firstLine="0" w:firstLineChars="0"/>
              <w:jc w:val="lef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焊接及超探检验、固定、零星除锈、补漆、清理等。</w:t>
            </w:r>
          </w:p>
          <w:tbl>
            <w:tblPr>
              <w:tblStyle w:val="10"/>
              <w:tblW w:w="8373" w:type="dxa"/>
              <w:tblInd w:w="0" w:type="dxa"/>
              <w:tblLayout w:type="fixed"/>
              <w:tblCellMar>
                <w:top w:w="0" w:type="dxa"/>
                <w:left w:w="108" w:type="dxa"/>
                <w:bottom w:w="0" w:type="dxa"/>
                <w:right w:w="108" w:type="dxa"/>
              </w:tblCellMar>
            </w:tblPr>
            <w:tblGrid>
              <w:gridCol w:w="928"/>
              <w:gridCol w:w="216"/>
              <w:gridCol w:w="2503"/>
              <w:gridCol w:w="630"/>
              <w:gridCol w:w="1044"/>
              <w:gridCol w:w="255"/>
              <w:gridCol w:w="1251"/>
              <w:gridCol w:w="1546"/>
            </w:tblGrid>
            <w:tr>
              <w:tblPrEx>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ascii="宋体" w:hAnsi="宋体" w:eastAsia="宋体" w:cs="宋体"/>
                      <w:color w:val="auto"/>
                      <w:sz w:val="18"/>
                      <w:szCs w:val="18"/>
                    </w:rPr>
                  </w:pPr>
                </w:p>
              </w:tc>
              <w:tc>
                <w:tcPr>
                  <w:tcW w:w="2503" w:type="dxa"/>
                  <w:tcBorders>
                    <w:top w:val="nil"/>
                    <w:left w:val="nil"/>
                    <w:bottom w:val="single" w:color="000000" w:sz="4" w:space="0"/>
                    <w:right w:val="nil"/>
                  </w:tcBorders>
                  <w:shd w:val="clear" w:color="auto" w:fill="auto"/>
                  <w:vAlign w:val="center"/>
                </w:tcPr>
                <w:p>
                  <w:pPr>
                    <w:jc w:val="left"/>
                    <w:rPr>
                      <w:rFonts w:ascii="宋体" w:hAnsi="宋体" w:eastAsia="宋体" w:cs="宋体"/>
                      <w:color w:val="auto"/>
                      <w:sz w:val="18"/>
                      <w:szCs w:val="18"/>
                    </w:rPr>
                  </w:pPr>
                </w:p>
              </w:tc>
              <w:tc>
                <w:tcPr>
                  <w:tcW w:w="630" w:type="dxa"/>
                  <w:tcBorders>
                    <w:top w:val="nil"/>
                    <w:left w:val="nil"/>
                    <w:bottom w:val="single" w:color="000000" w:sz="4" w:space="0"/>
                    <w:right w:val="nil"/>
                  </w:tcBorders>
                  <w:shd w:val="clear" w:color="auto" w:fill="auto"/>
                  <w:vAlign w:val="center"/>
                </w:tcPr>
                <w:p>
                  <w:pPr>
                    <w:jc w:val="center"/>
                    <w:rPr>
                      <w:color w:val="auto"/>
                    </w:rPr>
                  </w:pPr>
                </w:p>
              </w:tc>
              <w:tc>
                <w:tcPr>
                  <w:tcW w:w="1044"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255"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1251"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kern w:val="0"/>
                      <w:sz w:val="18"/>
                      <w:szCs w:val="18"/>
                    </w:rPr>
                  </w:pPr>
                </w:p>
              </w:tc>
              <w:tc>
                <w:tcPr>
                  <w:tcW w:w="1546" w:type="dxa"/>
                  <w:tcBorders>
                    <w:top w:val="nil"/>
                    <w:left w:val="nil"/>
                    <w:bottom w:val="single" w:color="000000" w:sz="4" w:space="0"/>
                    <w:right w:val="nil"/>
                  </w:tcBorders>
                  <w:shd w:val="clear" w:color="auto" w:fill="auto"/>
                  <w:vAlign w:val="center"/>
                </w:tcPr>
                <w:p>
                  <w:pPr>
                    <w:widowControl/>
                    <w:ind w:left="-402" w:leftChars="-200" w:hanging="18" w:hangingChars="10"/>
                    <w:jc w:val="righ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计量单位：t</w:t>
                  </w:r>
                </w:p>
              </w:tc>
            </w:tr>
            <w:tr>
              <w:tblPrEx>
                <w:tblCellMar>
                  <w:top w:w="0" w:type="dxa"/>
                  <w:left w:w="108" w:type="dxa"/>
                  <w:bottom w:w="0" w:type="dxa"/>
                  <w:right w:w="108" w:type="dxa"/>
                </w:tblCellMar>
              </w:tblPrEx>
              <w:trPr>
                <w:trHeight w:val="41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定  额  编  号</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建6B-3</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建6B-4</w:t>
                  </w:r>
                </w:p>
              </w:tc>
            </w:tr>
            <w:tr>
              <w:tblPrEx>
                <w:tblCellMar>
                  <w:top w:w="0" w:type="dxa"/>
                  <w:left w:w="108" w:type="dxa"/>
                  <w:bottom w:w="0" w:type="dxa"/>
                  <w:right w:w="108" w:type="dxa"/>
                </w:tblCellMar>
              </w:tblPrEx>
              <w:trPr>
                <w:trHeight w:val="413" w:hRule="atLeast"/>
              </w:trPr>
              <w:tc>
                <w:tcPr>
                  <w:tcW w:w="532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p>
              </w:tc>
              <w:tc>
                <w:tcPr>
                  <w:tcW w:w="3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钢桁架</w:t>
                  </w:r>
                </w:p>
              </w:tc>
            </w:tr>
            <w:tr>
              <w:tblPrEx>
                <w:tblCellMar>
                  <w:top w:w="0" w:type="dxa"/>
                  <w:left w:w="108" w:type="dxa"/>
                  <w:bottom w:w="0" w:type="dxa"/>
                  <w:right w:w="108" w:type="dxa"/>
                </w:tblCellMar>
              </w:tblPrEx>
              <w:trPr>
                <w:trHeight w:val="413" w:hRule="atLeast"/>
              </w:trPr>
              <w:tc>
                <w:tcPr>
                  <w:tcW w:w="532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项  目</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单元、整体提升</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单元、整体滑移</w:t>
                  </w:r>
                </w:p>
              </w:tc>
            </w:tr>
            <w:tr>
              <w:tblPrEx>
                <w:tblCellMar>
                  <w:top w:w="0" w:type="dxa"/>
                  <w:left w:w="108" w:type="dxa"/>
                  <w:bottom w:w="0" w:type="dxa"/>
                  <w:right w:w="108" w:type="dxa"/>
                </w:tblCellMar>
              </w:tblPrEx>
              <w:trPr>
                <w:trHeight w:val="48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基     价  （元）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820.28</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989.71</w:t>
                  </w:r>
                </w:p>
              </w:tc>
            </w:tr>
            <w:tr>
              <w:tblPrEx>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其中</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人   工   费（元）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194.06</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174.69</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材   料   费（元）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212.66</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212.66</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机   械   费（元）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413.56</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602.36</w:t>
                  </w:r>
                </w:p>
              </w:tc>
            </w:tr>
            <w:tr>
              <w:tblPrEx>
                <w:tblCellMar>
                  <w:top w:w="0" w:type="dxa"/>
                  <w:left w:w="108" w:type="dxa"/>
                  <w:bottom w:w="0" w:type="dxa"/>
                  <w:right w:w="108" w:type="dxa"/>
                </w:tblCellMar>
              </w:tblPrEx>
              <w:trPr>
                <w:trHeight w:val="458" w:hRule="atLeast"/>
              </w:trPr>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单价（元）</w:t>
                  </w:r>
                </w:p>
              </w:tc>
              <w:tc>
                <w:tcPr>
                  <w:tcW w:w="3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消耗量</w:t>
                  </w:r>
                </w:p>
              </w:tc>
            </w:tr>
            <w:tr>
              <w:tblPrEx>
                <w:tblCellMar>
                  <w:top w:w="0" w:type="dxa"/>
                  <w:left w:w="108" w:type="dxa"/>
                  <w:bottom w:w="0" w:type="dxa"/>
                  <w:right w:w="108" w:type="dxa"/>
                </w:tblCellMar>
              </w:tblPrEx>
              <w:trPr>
                <w:trHeight w:val="36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人工</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auto"/>
                    </w:rPr>
                  </w:pPr>
                  <w:r>
                    <w:rPr>
                      <w:rFonts w:hint="eastAsia" w:ascii="宋体" w:hAnsi="宋体" w:eastAsia="宋体" w:cs="宋体"/>
                      <w:color w:val="auto"/>
                      <w:kern w:val="0"/>
                      <w:sz w:val="18"/>
                      <w:szCs w:val="18"/>
                    </w:rPr>
                    <w:t>三类人工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工日</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155.00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1.252</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1.127</w:t>
                  </w:r>
                </w:p>
              </w:tc>
            </w:tr>
            <w:tr>
              <w:tblPrEx>
                <w:tblCellMar>
                  <w:top w:w="0" w:type="dxa"/>
                  <w:left w:w="108" w:type="dxa"/>
                  <w:bottom w:w="0" w:type="dxa"/>
                  <w:right w:w="108" w:type="dxa"/>
                </w:tblCellMar>
              </w:tblPrEx>
              <w:trPr>
                <w:trHeight w:val="317"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材料</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钢桁架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t</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（1.000）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（1.000）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金属结构铁件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5.60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4.488</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4.488</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二氧化碳气体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2.002</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2.002</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焊丝 φ3.2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10.78</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6.489</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6.489</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吊装夹具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0.025</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0.025</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钢丝绳 综合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6.45</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6.993</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6.993</w:t>
                  </w:r>
                </w:p>
              </w:tc>
            </w:tr>
            <w:tr>
              <w:tblPrEx>
                <w:tblCellMar>
                  <w:top w:w="0" w:type="dxa"/>
                  <w:left w:w="108" w:type="dxa"/>
                  <w:bottom w:w="0" w:type="dxa"/>
                  <w:right w:w="108" w:type="dxa"/>
                </w:tblCellMar>
              </w:tblPrEx>
              <w:trPr>
                <w:trHeight w:val="33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垫木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2328.00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0.013</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0.013</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 底漆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13.79</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2.120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2.120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环氧富锌底漆稀释剂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11.21</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0.170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0.170</w:t>
                  </w:r>
                </w:p>
              </w:tc>
            </w:tr>
            <w:tr>
              <w:tblPrEx>
                <w:tblCellMar>
                  <w:top w:w="0" w:type="dxa"/>
                  <w:left w:w="108" w:type="dxa"/>
                  <w:bottom w:w="0" w:type="dxa"/>
                  <w:right w:w="108" w:type="dxa"/>
                </w:tblCellMar>
              </w:tblPrEx>
              <w:trPr>
                <w:trHeight w:val="386"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 xml:space="preserve">其他材料费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6.430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6.430</w:t>
                  </w:r>
                </w:p>
              </w:tc>
            </w:tr>
            <w:tr>
              <w:tblPrEx>
                <w:tblCellMar>
                  <w:top w:w="0" w:type="dxa"/>
                  <w:left w:w="108" w:type="dxa"/>
                  <w:bottom w:w="0" w:type="dxa"/>
                  <w:right w:w="108" w:type="dxa"/>
                </w:tblCellMar>
              </w:tblPrEx>
              <w:trPr>
                <w:trHeight w:val="386"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机械</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立式油压千斤顶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27.48</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13.200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12.100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履带式起重机 100t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2737.92</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0.080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交流弧焊机 32kV·A</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92.84</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0.158</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0.158</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二氧化碳气体保护焊机 500A</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132.92</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0.158</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sz w:val="18"/>
                      <w:szCs w:val="18"/>
                      <w:lang w:val="en-US" w:eastAsia="zh-CN"/>
                    </w:rPr>
                    <w:t>0.158</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超声波探伤仪 0.0～10000mm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101.00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0.150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0.150</w:t>
                  </w:r>
                </w:p>
              </w:tc>
            </w:tr>
          </w:tbl>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ind w:left="-1050" w:leftChars="-50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（2）钢桁架</w:t>
            </w:r>
            <w:r>
              <w:rPr>
                <w:rFonts w:hint="eastAsia" w:ascii="宋体" w:hAnsi="宋体" w:eastAsia="宋体" w:cs="宋体"/>
                <w:b/>
                <w:bCs/>
                <w:color w:val="auto"/>
                <w:kern w:val="0"/>
                <w:sz w:val="24"/>
                <w:lang w:val="en-US" w:eastAsia="zh-CN"/>
              </w:rPr>
              <w:t>地面</w:t>
            </w:r>
            <w:r>
              <w:rPr>
                <w:rFonts w:hint="eastAsia" w:ascii="宋体" w:hAnsi="宋体" w:eastAsia="宋体" w:cs="宋体"/>
                <w:b/>
                <w:bCs/>
                <w:color w:val="auto"/>
                <w:kern w:val="0"/>
                <w:sz w:val="24"/>
              </w:rPr>
              <w:t>拼装</w:t>
            </w:r>
          </w:p>
          <w:p>
            <w:pPr>
              <w:widowControl/>
              <w:ind w:left="900" w:hanging="900" w:hangingChars="500"/>
              <w:jc w:val="lef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工作内容：放线、卸料、检验、划线、组立、焊接及超探检验、翻身、校正、调平、清理、补漆。</w:t>
            </w:r>
          </w:p>
          <w:tbl>
            <w:tblPr>
              <w:tblStyle w:val="10"/>
              <w:tblW w:w="8376" w:type="dxa"/>
              <w:tblInd w:w="0" w:type="dxa"/>
              <w:tblLayout w:type="fixed"/>
              <w:tblCellMar>
                <w:top w:w="0" w:type="dxa"/>
                <w:left w:w="108" w:type="dxa"/>
                <w:bottom w:w="0" w:type="dxa"/>
                <w:right w:w="108" w:type="dxa"/>
              </w:tblCellMar>
            </w:tblPr>
            <w:tblGrid>
              <w:gridCol w:w="928"/>
              <w:gridCol w:w="216"/>
              <w:gridCol w:w="2503"/>
              <w:gridCol w:w="630"/>
              <w:gridCol w:w="1044"/>
              <w:gridCol w:w="255"/>
              <w:gridCol w:w="1251"/>
              <w:gridCol w:w="1549"/>
            </w:tblGrid>
            <w:tr>
              <w:tblPrEx>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ascii="宋体" w:hAnsi="宋体" w:eastAsia="宋体" w:cs="宋体"/>
                      <w:color w:val="auto"/>
                      <w:sz w:val="18"/>
                      <w:szCs w:val="18"/>
                    </w:rPr>
                  </w:pPr>
                </w:p>
              </w:tc>
              <w:tc>
                <w:tcPr>
                  <w:tcW w:w="2503" w:type="dxa"/>
                  <w:tcBorders>
                    <w:top w:val="nil"/>
                    <w:left w:val="nil"/>
                    <w:bottom w:val="single" w:color="000000" w:sz="4" w:space="0"/>
                    <w:right w:val="nil"/>
                  </w:tcBorders>
                  <w:shd w:val="clear" w:color="auto" w:fill="auto"/>
                  <w:vAlign w:val="center"/>
                </w:tcPr>
                <w:p>
                  <w:pPr>
                    <w:jc w:val="left"/>
                    <w:rPr>
                      <w:rFonts w:ascii="宋体" w:hAnsi="宋体" w:eastAsia="宋体" w:cs="宋体"/>
                      <w:color w:val="auto"/>
                      <w:sz w:val="18"/>
                      <w:szCs w:val="18"/>
                    </w:rPr>
                  </w:pPr>
                </w:p>
              </w:tc>
              <w:tc>
                <w:tcPr>
                  <w:tcW w:w="630" w:type="dxa"/>
                  <w:tcBorders>
                    <w:top w:val="nil"/>
                    <w:left w:val="nil"/>
                    <w:bottom w:val="single" w:color="000000" w:sz="4" w:space="0"/>
                    <w:right w:val="nil"/>
                  </w:tcBorders>
                  <w:shd w:val="clear" w:color="auto" w:fill="auto"/>
                  <w:vAlign w:val="center"/>
                </w:tcPr>
                <w:p>
                  <w:pPr>
                    <w:jc w:val="center"/>
                    <w:rPr>
                      <w:color w:val="auto"/>
                    </w:rPr>
                  </w:pPr>
                </w:p>
              </w:tc>
              <w:tc>
                <w:tcPr>
                  <w:tcW w:w="1044"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255"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1251"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kern w:val="0"/>
                      <w:sz w:val="18"/>
                      <w:szCs w:val="18"/>
                    </w:rPr>
                  </w:pPr>
                </w:p>
              </w:tc>
              <w:tc>
                <w:tcPr>
                  <w:tcW w:w="1549" w:type="dxa"/>
                  <w:tcBorders>
                    <w:top w:val="nil"/>
                    <w:left w:val="nil"/>
                    <w:bottom w:val="single" w:color="000000" w:sz="4" w:space="0"/>
                    <w:right w:val="nil"/>
                  </w:tcBorders>
                  <w:shd w:val="clear" w:color="auto" w:fill="auto"/>
                  <w:vAlign w:val="center"/>
                </w:tcPr>
                <w:p>
                  <w:pPr>
                    <w:widowControl/>
                    <w:ind w:left="-402" w:leftChars="-200" w:hanging="18" w:hangingChars="10"/>
                    <w:jc w:val="righ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计量单位：t</w:t>
                  </w:r>
                </w:p>
              </w:tc>
            </w:tr>
            <w:tr>
              <w:tblPrEx>
                <w:tblCellMar>
                  <w:top w:w="0" w:type="dxa"/>
                  <w:left w:w="108" w:type="dxa"/>
                  <w:bottom w:w="0" w:type="dxa"/>
                  <w:right w:w="108" w:type="dxa"/>
                </w:tblCellMar>
              </w:tblPrEx>
              <w:trPr>
                <w:trHeight w:val="41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定  额  编  号</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建6B-5</w:t>
                  </w:r>
                </w:p>
              </w:tc>
            </w:tr>
            <w:tr>
              <w:tblPrEx>
                <w:tblCellMar>
                  <w:top w:w="0" w:type="dxa"/>
                  <w:left w:w="108" w:type="dxa"/>
                  <w:bottom w:w="0" w:type="dxa"/>
                  <w:right w:w="108" w:type="dxa"/>
                </w:tblCellMar>
              </w:tblPrEx>
              <w:trPr>
                <w:trHeight w:val="413" w:hRule="atLeast"/>
              </w:trPr>
              <w:tc>
                <w:tcPr>
                  <w:tcW w:w="532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项  目</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构件拼装</w:t>
                  </w:r>
                </w:p>
              </w:tc>
            </w:tr>
            <w:tr>
              <w:tblPrEx>
                <w:tblCellMar>
                  <w:top w:w="0" w:type="dxa"/>
                  <w:left w:w="108" w:type="dxa"/>
                  <w:bottom w:w="0" w:type="dxa"/>
                  <w:right w:w="108" w:type="dxa"/>
                </w:tblCellMar>
              </w:tblPrEx>
              <w:trPr>
                <w:trHeight w:val="48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基     价  （元）</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799.72</w:t>
                  </w:r>
                </w:p>
              </w:tc>
            </w:tr>
            <w:tr>
              <w:tblPrEx>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其中</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人   工   费（元）</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317.29</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材   料   费（元）</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201.38</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机   械   费（元）</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281.05</w:t>
                  </w:r>
                </w:p>
              </w:tc>
            </w:tr>
            <w:tr>
              <w:tblPrEx>
                <w:tblCellMar>
                  <w:top w:w="0" w:type="dxa"/>
                  <w:left w:w="108" w:type="dxa"/>
                  <w:bottom w:w="0" w:type="dxa"/>
                  <w:right w:w="108" w:type="dxa"/>
                </w:tblCellMar>
              </w:tblPrEx>
              <w:trPr>
                <w:trHeight w:val="458" w:hRule="atLeast"/>
              </w:trPr>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单价（元）</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消耗量</w:t>
                  </w:r>
                </w:p>
              </w:tc>
            </w:tr>
            <w:tr>
              <w:tblPrEx>
                <w:tblCellMar>
                  <w:top w:w="0" w:type="dxa"/>
                  <w:left w:w="108" w:type="dxa"/>
                  <w:bottom w:w="0" w:type="dxa"/>
                  <w:right w:w="108" w:type="dxa"/>
                </w:tblCellMar>
              </w:tblPrEx>
              <w:trPr>
                <w:trHeight w:val="36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人工</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auto"/>
                    </w:rPr>
                  </w:pPr>
                  <w:r>
                    <w:rPr>
                      <w:rFonts w:hint="eastAsia" w:ascii="宋体" w:hAnsi="宋体" w:eastAsia="宋体" w:cs="宋体"/>
                      <w:color w:val="auto"/>
                      <w:kern w:val="0"/>
                      <w:sz w:val="18"/>
                      <w:szCs w:val="18"/>
                    </w:rPr>
                    <w:t>三类人工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工日</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155.00</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2.047</w:t>
                  </w:r>
                </w:p>
              </w:tc>
            </w:tr>
            <w:tr>
              <w:tblPrEx>
                <w:tblCellMar>
                  <w:top w:w="0" w:type="dxa"/>
                  <w:left w:w="108" w:type="dxa"/>
                  <w:bottom w:w="0" w:type="dxa"/>
                  <w:right w:w="108" w:type="dxa"/>
                </w:tblCellMar>
              </w:tblPrEx>
              <w:trPr>
                <w:trHeight w:val="359" w:hRule="atLeast"/>
              </w:trPr>
              <w:tc>
                <w:tcPr>
                  <w:tcW w:w="928" w:type="dxa"/>
                  <w:vMerge w:val="restart"/>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金属结构铁件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5.60</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3.162</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氧气</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3.62</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5.192</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二氧化碳气体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5.192</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焊丝 φ3.2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10.78</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4.326</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吊装夹具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103.00</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0.025</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钢丝绳 综合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6.45</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3.793</w:t>
                  </w:r>
                </w:p>
              </w:tc>
            </w:tr>
            <w:tr>
              <w:tblPrEx>
                <w:tblCellMar>
                  <w:top w:w="0" w:type="dxa"/>
                  <w:left w:w="108" w:type="dxa"/>
                  <w:bottom w:w="0" w:type="dxa"/>
                  <w:right w:w="108" w:type="dxa"/>
                </w:tblCellMar>
              </w:tblPrEx>
              <w:trPr>
                <w:trHeight w:val="33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垫木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2328.00</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0.013</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 底漆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13.79</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2.120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环氧富锌底漆稀释剂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11.21</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0.212</w:t>
                  </w:r>
                </w:p>
              </w:tc>
            </w:tr>
            <w:tr>
              <w:tblPrEx>
                <w:tblCellMar>
                  <w:top w:w="0" w:type="dxa"/>
                  <w:left w:w="108" w:type="dxa"/>
                  <w:bottom w:w="0" w:type="dxa"/>
                  <w:right w:w="108" w:type="dxa"/>
                </w:tblCellMar>
              </w:tblPrEx>
              <w:trPr>
                <w:trHeight w:val="386"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 xml:space="preserve">其他材料费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1.00</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23.980</w:t>
                  </w:r>
                </w:p>
              </w:tc>
            </w:tr>
            <w:tr>
              <w:tblPrEx>
                <w:tblCellMar>
                  <w:top w:w="0" w:type="dxa"/>
                  <w:left w:w="108" w:type="dxa"/>
                  <w:bottom w:w="0" w:type="dxa"/>
                  <w:right w:w="108" w:type="dxa"/>
                </w:tblCellMar>
              </w:tblPrEx>
              <w:trPr>
                <w:trHeight w:val="386"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机械</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汽车式起重机 </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rPr>
                    <w:t>0t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942.85</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0.167</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汽车式起重机 40t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1517.63</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0.042</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交流弧焊机 32kV·A</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92.84</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0.198</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二氧化碳气体保护焊机 500A</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132.92</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0.198</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超声波探伤仪 0.0～10000mm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101.00</w:t>
                  </w:r>
                </w:p>
              </w:tc>
              <w:tc>
                <w:tcPr>
                  <w:tcW w:w="3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0.150</w:t>
                  </w:r>
                </w:p>
              </w:tc>
            </w:tr>
          </w:tbl>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ind w:left="-1050" w:leftChars="-50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（3）钢桁架安装措施</w:t>
            </w:r>
          </w:p>
          <w:p>
            <w:pPr>
              <w:widowControl/>
              <w:ind w:left="900" w:hanging="900" w:hangingChars="500"/>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工作内容：场内转运、卸料、检验、划线、切割、组立、焊接及超探检验、翻身、校正、调平、清理、</w:t>
            </w:r>
          </w:p>
          <w:p>
            <w:pPr>
              <w:widowControl/>
              <w:ind w:left="893" w:leftChars="425" w:firstLine="0" w:firstLineChars="0"/>
              <w:jc w:val="lef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拆除、整理等。</w:t>
            </w:r>
          </w:p>
          <w:tbl>
            <w:tblPr>
              <w:tblStyle w:val="10"/>
              <w:tblW w:w="8271" w:type="dxa"/>
              <w:tblInd w:w="0" w:type="dxa"/>
              <w:tblLayout w:type="fixed"/>
              <w:tblCellMar>
                <w:top w:w="0" w:type="dxa"/>
                <w:left w:w="108" w:type="dxa"/>
                <w:bottom w:w="0" w:type="dxa"/>
                <w:right w:w="108" w:type="dxa"/>
              </w:tblCellMar>
            </w:tblPr>
            <w:tblGrid>
              <w:gridCol w:w="928"/>
              <w:gridCol w:w="216"/>
              <w:gridCol w:w="2312"/>
              <w:gridCol w:w="645"/>
              <w:gridCol w:w="1050"/>
              <w:gridCol w:w="425"/>
              <w:gridCol w:w="640"/>
              <w:gridCol w:w="1001"/>
              <w:gridCol w:w="1054"/>
            </w:tblGrid>
            <w:tr>
              <w:tblPrEx>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ascii="宋体" w:hAnsi="宋体" w:eastAsia="宋体" w:cs="宋体"/>
                      <w:color w:val="auto"/>
                      <w:sz w:val="18"/>
                      <w:szCs w:val="18"/>
                    </w:rPr>
                  </w:pPr>
                </w:p>
              </w:tc>
              <w:tc>
                <w:tcPr>
                  <w:tcW w:w="2312" w:type="dxa"/>
                  <w:tcBorders>
                    <w:top w:val="nil"/>
                    <w:left w:val="nil"/>
                    <w:bottom w:val="single" w:color="000000" w:sz="4" w:space="0"/>
                    <w:right w:val="nil"/>
                  </w:tcBorders>
                  <w:shd w:val="clear" w:color="auto" w:fill="auto"/>
                  <w:vAlign w:val="center"/>
                </w:tcPr>
                <w:p>
                  <w:pPr>
                    <w:jc w:val="left"/>
                    <w:rPr>
                      <w:rFonts w:ascii="宋体" w:hAnsi="宋体" w:eastAsia="宋体" w:cs="宋体"/>
                      <w:color w:val="auto"/>
                      <w:sz w:val="18"/>
                      <w:szCs w:val="18"/>
                    </w:rPr>
                  </w:pPr>
                </w:p>
              </w:tc>
              <w:tc>
                <w:tcPr>
                  <w:tcW w:w="645" w:type="dxa"/>
                  <w:tcBorders>
                    <w:top w:val="nil"/>
                    <w:left w:val="nil"/>
                    <w:bottom w:val="single" w:color="000000" w:sz="4" w:space="0"/>
                    <w:right w:val="nil"/>
                  </w:tcBorders>
                  <w:shd w:val="clear" w:color="auto" w:fill="auto"/>
                  <w:vAlign w:val="center"/>
                </w:tcPr>
                <w:p>
                  <w:pPr>
                    <w:jc w:val="center"/>
                    <w:rPr>
                      <w:color w:val="auto"/>
                    </w:rPr>
                  </w:pPr>
                </w:p>
              </w:tc>
              <w:tc>
                <w:tcPr>
                  <w:tcW w:w="1050"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425"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640"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kern w:val="0"/>
                      <w:sz w:val="18"/>
                      <w:szCs w:val="18"/>
                    </w:rPr>
                  </w:pPr>
                </w:p>
              </w:tc>
              <w:tc>
                <w:tcPr>
                  <w:tcW w:w="2055" w:type="dxa"/>
                  <w:gridSpan w:val="2"/>
                  <w:tcBorders>
                    <w:top w:val="nil"/>
                    <w:left w:val="nil"/>
                    <w:bottom w:val="single" w:color="000000" w:sz="4" w:space="0"/>
                    <w:right w:val="nil"/>
                  </w:tcBorders>
                  <w:shd w:val="clear" w:color="auto" w:fill="auto"/>
                  <w:vAlign w:val="center"/>
                </w:tcPr>
                <w:p>
                  <w:pPr>
                    <w:widowControl/>
                    <w:ind w:left="-402" w:leftChars="-200" w:hanging="18" w:hangingChars="10"/>
                    <w:jc w:val="righ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计量单位：t</w:t>
                  </w:r>
                </w:p>
              </w:tc>
            </w:tr>
            <w:tr>
              <w:tblPrEx>
                <w:tblCellMar>
                  <w:top w:w="0" w:type="dxa"/>
                  <w:left w:w="108" w:type="dxa"/>
                  <w:bottom w:w="0" w:type="dxa"/>
                  <w:right w:w="108" w:type="dxa"/>
                </w:tblCellMar>
              </w:tblPrEx>
              <w:trPr>
                <w:trHeight w:val="418" w:hRule="atLeast"/>
              </w:trPr>
              <w:tc>
                <w:tcPr>
                  <w:tcW w:w="51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定  额  编  号</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建6B-6</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建6B-8</w:t>
                  </w:r>
                </w:p>
              </w:tc>
            </w:tr>
            <w:tr>
              <w:tblPrEx>
                <w:tblCellMar>
                  <w:top w:w="0" w:type="dxa"/>
                  <w:left w:w="108" w:type="dxa"/>
                  <w:bottom w:w="0" w:type="dxa"/>
                  <w:right w:w="108" w:type="dxa"/>
                </w:tblCellMar>
              </w:tblPrEx>
              <w:trPr>
                <w:trHeight w:val="413" w:hRule="atLeast"/>
              </w:trPr>
              <w:tc>
                <w:tcPr>
                  <w:tcW w:w="515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1050" w:leftChars="-50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highlight w:val="yellow"/>
                      <w:lang w:val="en-US" w:eastAsia="zh-CN"/>
                    </w:rPr>
                    <w:t xml:space="preserve">     </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钢桁架安装施工措施费</w:t>
                  </w:r>
                </w:p>
              </w:tc>
            </w:tr>
            <w:tr>
              <w:tblPrEx>
                <w:tblCellMar>
                  <w:top w:w="0" w:type="dxa"/>
                  <w:left w:w="108" w:type="dxa"/>
                  <w:bottom w:w="0" w:type="dxa"/>
                  <w:right w:w="108" w:type="dxa"/>
                </w:tblCellMar>
              </w:tblPrEx>
              <w:trPr>
                <w:trHeight w:val="413" w:hRule="atLeast"/>
              </w:trPr>
              <w:tc>
                <w:tcPr>
                  <w:tcW w:w="515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项  目</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吊装施工</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提升施工</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滑移施工</w:t>
                  </w:r>
                </w:p>
              </w:tc>
            </w:tr>
            <w:tr>
              <w:tblPrEx>
                <w:tblCellMar>
                  <w:top w:w="0" w:type="dxa"/>
                  <w:left w:w="108" w:type="dxa"/>
                  <w:bottom w:w="0" w:type="dxa"/>
                  <w:right w:w="108" w:type="dxa"/>
                </w:tblCellMar>
              </w:tblPrEx>
              <w:trPr>
                <w:trHeight w:val="488" w:hRule="atLeast"/>
              </w:trPr>
              <w:tc>
                <w:tcPr>
                  <w:tcW w:w="51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基     价  （元）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893.27</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839.35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14</w:t>
                  </w:r>
                  <w:r>
                    <w:rPr>
                      <w:rFonts w:hint="eastAsia" w:ascii="宋体" w:hAnsi="宋体" w:eastAsia="宋体" w:cs="宋体"/>
                      <w:color w:val="auto"/>
                      <w:kern w:val="0"/>
                      <w:sz w:val="18"/>
                      <w:szCs w:val="18"/>
                      <w:lang w:val="en-US" w:eastAsia="zh-CN"/>
                    </w:rPr>
                    <w:t>20.38</w:t>
                  </w:r>
                </w:p>
              </w:tc>
            </w:tr>
            <w:tr>
              <w:tblPrEx>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其中</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人   工   费（元）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512.12</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481.43</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906.44</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材   料   费（元）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223.83</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174.80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53.42</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机   械   费（元）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157.32</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183.12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260.52</w:t>
                  </w:r>
                </w:p>
              </w:tc>
            </w:tr>
            <w:tr>
              <w:tblPrEx>
                <w:tblCellMar>
                  <w:top w:w="0" w:type="dxa"/>
                  <w:left w:w="108" w:type="dxa"/>
                  <w:bottom w:w="0" w:type="dxa"/>
                  <w:right w:w="108" w:type="dxa"/>
                </w:tblCellMar>
              </w:tblPrEx>
              <w:trPr>
                <w:trHeight w:val="458" w:hRule="atLeast"/>
              </w:trPr>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单价（元）</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消耗量</w:t>
                  </w:r>
                </w:p>
              </w:tc>
            </w:tr>
            <w:tr>
              <w:tblPrEx>
                <w:tblCellMar>
                  <w:top w:w="0" w:type="dxa"/>
                  <w:left w:w="108" w:type="dxa"/>
                  <w:bottom w:w="0" w:type="dxa"/>
                  <w:right w:w="108" w:type="dxa"/>
                </w:tblCellMar>
              </w:tblPrEx>
              <w:trPr>
                <w:trHeight w:val="36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人工</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auto"/>
                    </w:rPr>
                  </w:pPr>
                  <w:r>
                    <w:rPr>
                      <w:rFonts w:hint="eastAsia" w:ascii="宋体" w:hAnsi="宋体" w:eastAsia="宋体" w:cs="宋体"/>
                      <w:color w:val="auto"/>
                      <w:kern w:val="0"/>
                      <w:sz w:val="18"/>
                      <w:szCs w:val="18"/>
                    </w:rPr>
                    <w:t>三类人工</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工日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155.00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3.304</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3.106</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5.848</w:t>
                  </w:r>
                </w:p>
              </w:tc>
            </w:tr>
            <w:tr>
              <w:tblPrEx>
                <w:tblCellMar>
                  <w:top w:w="0" w:type="dxa"/>
                  <w:left w:w="108" w:type="dxa"/>
                  <w:bottom w:w="0" w:type="dxa"/>
                  <w:right w:w="108" w:type="dxa"/>
                </w:tblCellMar>
              </w:tblPrEx>
              <w:trPr>
                <w:trHeight w:val="317"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材料</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焊丝 φ3.2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10.78</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1.470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1.470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1.470</w:t>
                  </w:r>
                </w:p>
              </w:tc>
            </w:tr>
            <w:tr>
              <w:tblPrEx>
                <w:tblCellMar>
                  <w:top w:w="0" w:type="dxa"/>
                  <w:left w:w="108" w:type="dxa"/>
                  <w:bottom w:w="0" w:type="dxa"/>
                  <w:right w:w="108" w:type="dxa"/>
                </w:tblCellMar>
              </w:tblPrEx>
              <w:trPr>
                <w:trHeight w:val="359"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氧气</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3.62</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0.979</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0.979</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0.979</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乙炔气</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8.90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0.490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0.490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0.490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红丹防锈漆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6.90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5.194</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5.194</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5.194</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金属周转材料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3.95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21.000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8.820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28.350</w:t>
                  </w:r>
                </w:p>
              </w:tc>
            </w:tr>
            <w:tr>
              <w:tblPrEx>
                <w:tblCellMar>
                  <w:top w:w="0" w:type="dxa"/>
                  <w:left w:w="108" w:type="dxa"/>
                  <w:bottom w:w="0" w:type="dxa"/>
                  <w:right w:w="108" w:type="dxa"/>
                </w:tblCellMar>
              </w:tblPrEx>
              <w:trPr>
                <w:trHeight w:val="33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吊装夹具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0.001</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0.001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0.001</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钢丝绳 综合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6.45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0.394</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0.394</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0.394</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垫木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2328.00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0.032</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0.032</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 xml:space="preserve">其他材料费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1.00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4.150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3.230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4.710</w:t>
                  </w:r>
                </w:p>
              </w:tc>
            </w:tr>
            <w:tr>
              <w:tblPrEx>
                <w:tblCellMar>
                  <w:top w:w="0" w:type="dxa"/>
                  <w:left w:w="108" w:type="dxa"/>
                  <w:bottom w:w="0" w:type="dxa"/>
                  <w:right w:w="108" w:type="dxa"/>
                </w:tblCellMar>
              </w:tblPrEx>
              <w:trPr>
                <w:trHeight w:val="386" w:hRule="atLeast"/>
              </w:trPr>
              <w:tc>
                <w:tcPr>
                  <w:tcW w:w="928" w:type="dxa"/>
                  <w:vMerge w:val="restart"/>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机械</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汽车式起重机 40t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1517.63</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0.077</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0.094</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0.145</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交流弧焊机 32kV·A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92.84</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0.297</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0.297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0.297</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二氧化碳气体保护焊机 500A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132.92</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0.021</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0.021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0.021</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超声波探伤仪 0.0～10000mm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101.00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0.100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0.100</w:t>
                  </w:r>
                </w:p>
              </w:tc>
            </w:tr>
          </w:tbl>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ind w:left="-1050" w:leftChars="-50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2.钢网架</w:t>
            </w:r>
          </w:p>
          <w:p>
            <w:pPr>
              <w:widowControl/>
              <w:ind w:left="-1050" w:leftChars="-50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（1）焊接空心球网架安装</w:t>
            </w:r>
          </w:p>
          <w:p>
            <w:pPr>
              <w:widowControl/>
              <w:ind w:left="900" w:hanging="900" w:hangingChars="500"/>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工作内容：场内转运、卸料、检验、基础线测定、找正、找平、翻身</w:t>
            </w:r>
            <w:r>
              <w:rPr>
                <w:rFonts w:hint="eastAsia" w:ascii="宋体" w:hAnsi="宋体" w:eastAsia="宋体" w:cs="宋体"/>
                <w:color w:val="auto"/>
                <w:kern w:val="0"/>
                <w:sz w:val="18"/>
                <w:szCs w:val="18"/>
                <w:lang w:val="en-US" w:eastAsia="zh-CN"/>
              </w:rPr>
              <w:t>就位</w:t>
            </w:r>
            <w:r>
              <w:rPr>
                <w:rFonts w:hint="eastAsia" w:ascii="宋体" w:hAnsi="宋体" w:eastAsia="宋体" w:cs="宋体"/>
                <w:color w:val="auto"/>
                <w:kern w:val="0"/>
                <w:sz w:val="18"/>
                <w:szCs w:val="18"/>
              </w:rPr>
              <w:t>、吊装</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提升、</w:t>
            </w:r>
            <w:r>
              <w:rPr>
                <w:rFonts w:hint="eastAsia" w:ascii="宋体" w:hAnsi="宋体" w:eastAsia="宋体" w:cs="宋体"/>
                <w:color w:val="auto"/>
                <w:kern w:val="0"/>
                <w:sz w:val="18"/>
                <w:szCs w:val="18"/>
                <w:lang w:val="en-US" w:eastAsia="zh-CN"/>
              </w:rPr>
              <w:t>吊装</w:t>
            </w:r>
            <w:r>
              <w:rPr>
                <w:rFonts w:hint="eastAsia" w:ascii="宋体" w:hAnsi="宋体" w:eastAsia="宋体" w:cs="宋体"/>
                <w:color w:val="auto"/>
                <w:kern w:val="0"/>
                <w:sz w:val="18"/>
                <w:szCs w:val="18"/>
              </w:rPr>
              <w:t>滑移</w:t>
            </w:r>
            <w:r>
              <w:rPr>
                <w:rFonts w:hint="eastAsia" w:ascii="宋体" w:hAnsi="宋体" w:eastAsia="宋体" w:cs="宋体"/>
                <w:color w:val="auto"/>
                <w:kern w:val="0"/>
                <w:sz w:val="18"/>
                <w:szCs w:val="18"/>
                <w:lang w:eastAsia="zh-CN"/>
              </w:rPr>
              <w:t>）、</w:t>
            </w:r>
          </w:p>
          <w:p>
            <w:pPr>
              <w:widowControl/>
              <w:ind w:left="893" w:leftChars="425" w:firstLine="0" w:firstLineChars="0"/>
              <w:jc w:val="lef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就位、校正、</w:t>
            </w:r>
            <w:r>
              <w:rPr>
                <w:rFonts w:hint="eastAsia" w:ascii="宋体" w:hAnsi="宋体" w:eastAsia="宋体" w:cs="宋体"/>
                <w:color w:val="auto"/>
                <w:kern w:val="0"/>
                <w:sz w:val="18"/>
                <w:szCs w:val="18"/>
                <w:lang w:val="en-US" w:eastAsia="zh-CN"/>
              </w:rPr>
              <w:t>固定、</w:t>
            </w:r>
            <w:r>
              <w:rPr>
                <w:rFonts w:hint="eastAsia" w:ascii="宋体" w:hAnsi="宋体" w:eastAsia="宋体" w:cs="宋体"/>
                <w:color w:val="auto"/>
                <w:kern w:val="0"/>
                <w:sz w:val="18"/>
                <w:szCs w:val="18"/>
              </w:rPr>
              <w:t>焊接及超探检验、零星除锈、补漆、清理等。</w:t>
            </w:r>
          </w:p>
          <w:tbl>
            <w:tblPr>
              <w:tblStyle w:val="10"/>
              <w:tblW w:w="8317" w:type="dxa"/>
              <w:tblInd w:w="0" w:type="dxa"/>
              <w:tblLayout w:type="fixed"/>
              <w:tblCellMar>
                <w:top w:w="0" w:type="dxa"/>
                <w:left w:w="108" w:type="dxa"/>
                <w:bottom w:w="0" w:type="dxa"/>
                <w:right w:w="108" w:type="dxa"/>
              </w:tblCellMar>
            </w:tblPr>
            <w:tblGrid>
              <w:gridCol w:w="928"/>
              <w:gridCol w:w="216"/>
              <w:gridCol w:w="2312"/>
              <w:gridCol w:w="645"/>
              <w:gridCol w:w="1050"/>
              <w:gridCol w:w="425"/>
              <w:gridCol w:w="596"/>
              <w:gridCol w:w="1065"/>
              <w:gridCol w:w="1080"/>
            </w:tblGrid>
            <w:tr>
              <w:tblPrEx>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ascii="宋体" w:hAnsi="宋体" w:eastAsia="宋体" w:cs="宋体"/>
                      <w:color w:val="auto"/>
                      <w:sz w:val="18"/>
                      <w:szCs w:val="18"/>
                    </w:rPr>
                  </w:pPr>
                </w:p>
              </w:tc>
              <w:tc>
                <w:tcPr>
                  <w:tcW w:w="2312" w:type="dxa"/>
                  <w:tcBorders>
                    <w:top w:val="nil"/>
                    <w:left w:val="nil"/>
                    <w:bottom w:val="single" w:color="000000" w:sz="4" w:space="0"/>
                    <w:right w:val="nil"/>
                  </w:tcBorders>
                  <w:shd w:val="clear" w:color="auto" w:fill="auto"/>
                  <w:vAlign w:val="center"/>
                </w:tcPr>
                <w:p>
                  <w:pPr>
                    <w:jc w:val="left"/>
                    <w:rPr>
                      <w:rFonts w:ascii="宋体" w:hAnsi="宋体" w:eastAsia="宋体" w:cs="宋体"/>
                      <w:color w:val="auto"/>
                      <w:sz w:val="18"/>
                      <w:szCs w:val="18"/>
                    </w:rPr>
                  </w:pPr>
                </w:p>
              </w:tc>
              <w:tc>
                <w:tcPr>
                  <w:tcW w:w="645" w:type="dxa"/>
                  <w:tcBorders>
                    <w:top w:val="nil"/>
                    <w:left w:val="nil"/>
                    <w:bottom w:val="single" w:color="000000" w:sz="4" w:space="0"/>
                    <w:right w:val="nil"/>
                  </w:tcBorders>
                  <w:shd w:val="clear" w:color="auto" w:fill="auto"/>
                  <w:vAlign w:val="center"/>
                </w:tcPr>
                <w:p>
                  <w:pPr>
                    <w:jc w:val="center"/>
                    <w:rPr>
                      <w:color w:val="auto"/>
                    </w:rPr>
                  </w:pPr>
                </w:p>
              </w:tc>
              <w:tc>
                <w:tcPr>
                  <w:tcW w:w="1050"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425"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596"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kern w:val="0"/>
                      <w:sz w:val="18"/>
                      <w:szCs w:val="18"/>
                    </w:rPr>
                  </w:pPr>
                </w:p>
              </w:tc>
              <w:tc>
                <w:tcPr>
                  <w:tcW w:w="2145" w:type="dxa"/>
                  <w:gridSpan w:val="2"/>
                  <w:tcBorders>
                    <w:top w:val="nil"/>
                    <w:left w:val="nil"/>
                    <w:bottom w:val="single" w:color="000000" w:sz="4" w:space="0"/>
                    <w:right w:val="nil"/>
                  </w:tcBorders>
                  <w:shd w:val="clear" w:color="auto" w:fill="auto"/>
                  <w:vAlign w:val="center"/>
                </w:tcPr>
                <w:p>
                  <w:pPr>
                    <w:widowControl/>
                    <w:ind w:left="-402" w:leftChars="-200" w:hanging="18" w:hangingChars="10"/>
                    <w:jc w:val="righ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计量单位：t</w:t>
                  </w:r>
                </w:p>
              </w:tc>
            </w:tr>
            <w:tr>
              <w:tblPrEx>
                <w:tblCellMar>
                  <w:top w:w="0" w:type="dxa"/>
                  <w:left w:w="108" w:type="dxa"/>
                  <w:bottom w:w="0" w:type="dxa"/>
                  <w:right w:w="108" w:type="dxa"/>
                </w:tblCellMar>
              </w:tblPrEx>
              <w:trPr>
                <w:trHeight w:val="418" w:hRule="atLeast"/>
              </w:trPr>
              <w:tc>
                <w:tcPr>
                  <w:tcW w:w="51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定  额  编  号</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建6B-9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建6B-11</w:t>
                  </w:r>
                </w:p>
              </w:tc>
            </w:tr>
            <w:tr>
              <w:tblPrEx>
                <w:tblCellMar>
                  <w:top w:w="0" w:type="dxa"/>
                  <w:left w:w="108" w:type="dxa"/>
                  <w:bottom w:w="0" w:type="dxa"/>
                  <w:right w:w="108" w:type="dxa"/>
                </w:tblCellMar>
              </w:tblPrEx>
              <w:trPr>
                <w:trHeight w:val="413" w:hRule="atLeast"/>
              </w:trPr>
              <w:tc>
                <w:tcPr>
                  <w:tcW w:w="515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项  目</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高空散</w:t>
                  </w:r>
                  <w:r>
                    <w:rPr>
                      <w:rFonts w:hint="eastAsia" w:ascii="宋体" w:hAnsi="宋体" w:eastAsia="宋体" w:cs="宋体"/>
                      <w:color w:val="auto"/>
                      <w:sz w:val="18"/>
                      <w:szCs w:val="18"/>
                      <w:lang w:val="en-US" w:eastAsia="zh-CN"/>
                    </w:rPr>
                    <w:t>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单元、整体提升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单元、整体滑移</w:t>
                  </w:r>
                </w:p>
              </w:tc>
            </w:tr>
            <w:tr>
              <w:tblPrEx>
                <w:tblCellMar>
                  <w:top w:w="0" w:type="dxa"/>
                  <w:left w:w="108" w:type="dxa"/>
                  <w:bottom w:w="0" w:type="dxa"/>
                  <w:right w:w="108" w:type="dxa"/>
                </w:tblCellMar>
              </w:tblPrEx>
              <w:trPr>
                <w:trHeight w:val="488" w:hRule="atLeast"/>
              </w:trPr>
              <w:tc>
                <w:tcPr>
                  <w:tcW w:w="51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基     价  （元）</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1552.33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1040.17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1200.77</w:t>
                  </w:r>
                </w:p>
              </w:tc>
            </w:tr>
            <w:tr>
              <w:tblPrEx>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其中</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人   工   费（元）</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880.71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250.48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222.27</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材   料   费（元）</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379.89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379.89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79.89</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机   械   费（元）</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291.73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409.80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598.61</w:t>
                  </w:r>
                </w:p>
              </w:tc>
            </w:tr>
            <w:tr>
              <w:tblPrEx>
                <w:tblCellMar>
                  <w:top w:w="0" w:type="dxa"/>
                  <w:left w:w="108" w:type="dxa"/>
                  <w:bottom w:w="0" w:type="dxa"/>
                  <w:right w:w="108" w:type="dxa"/>
                </w:tblCellMar>
              </w:tblPrEx>
              <w:trPr>
                <w:trHeight w:val="458" w:hRule="atLeast"/>
              </w:trPr>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单价（元）</w:t>
                  </w:r>
                </w:p>
              </w:tc>
              <w:tc>
                <w:tcPr>
                  <w:tcW w:w="31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消耗量</w:t>
                  </w:r>
                </w:p>
              </w:tc>
            </w:tr>
            <w:tr>
              <w:tblPrEx>
                <w:tblCellMar>
                  <w:top w:w="0" w:type="dxa"/>
                  <w:left w:w="108" w:type="dxa"/>
                  <w:bottom w:w="0" w:type="dxa"/>
                  <w:right w:w="108" w:type="dxa"/>
                </w:tblCellMar>
              </w:tblPrEx>
              <w:trPr>
                <w:trHeight w:val="36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人工</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auto"/>
                    </w:rPr>
                  </w:pPr>
                  <w:r>
                    <w:rPr>
                      <w:rFonts w:hint="eastAsia" w:ascii="宋体" w:hAnsi="宋体" w:eastAsia="宋体" w:cs="宋体"/>
                      <w:color w:val="auto"/>
                      <w:kern w:val="0"/>
                      <w:sz w:val="18"/>
                      <w:szCs w:val="18"/>
                    </w:rPr>
                    <w:t>三类人工</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工日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155.00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5.682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1.434</w:t>
                  </w:r>
                </w:p>
              </w:tc>
            </w:tr>
            <w:tr>
              <w:tblPrEx>
                <w:tblCellMar>
                  <w:top w:w="0" w:type="dxa"/>
                  <w:left w:w="108" w:type="dxa"/>
                  <w:bottom w:w="0" w:type="dxa"/>
                  <w:right w:w="108" w:type="dxa"/>
                </w:tblCellMar>
              </w:tblPrEx>
              <w:trPr>
                <w:trHeight w:val="382"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材料</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焊接空心球网架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（1.000）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金属结构铁件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5.60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6.630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6.630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二氧化碳气体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2.200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氧气</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3.62</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2.530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2.530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2.530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焊丝 φ3.2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10.78</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11.093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11.093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11.093</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吊装夹具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0.060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0.060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钢丝绳 综合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6.45</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8.200</w:t>
                  </w:r>
                </w:p>
              </w:tc>
            </w:tr>
            <w:tr>
              <w:tblPrEx>
                <w:tblCellMar>
                  <w:top w:w="0" w:type="dxa"/>
                  <w:left w:w="108" w:type="dxa"/>
                  <w:bottom w:w="0" w:type="dxa"/>
                  <w:right w:w="108" w:type="dxa"/>
                </w:tblCellMar>
              </w:tblPrEx>
              <w:trPr>
                <w:trHeight w:val="33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垫木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2328.00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0.034</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 底漆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13.79</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4.240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4.240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环氧富锌底漆稀释剂</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11.21</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0.339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0.339</w:t>
                  </w:r>
                </w:p>
              </w:tc>
            </w:tr>
            <w:tr>
              <w:tblPrEx>
                <w:tblCellMar>
                  <w:top w:w="0" w:type="dxa"/>
                  <w:left w:w="108" w:type="dxa"/>
                  <w:bottom w:w="0" w:type="dxa"/>
                  <w:right w:w="108" w:type="dxa"/>
                </w:tblCellMar>
              </w:tblPrEx>
              <w:trPr>
                <w:trHeight w:val="386"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 xml:space="preserve">其他材料费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1.00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11.260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11.260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11.260</w:t>
                  </w:r>
                </w:p>
              </w:tc>
            </w:tr>
            <w:tr>
              <w:tblPrEx>
                <w:tblCellMar>
                  <w:top w:w="0" w:type="dxa"/>
                  <w:left w:w="108" w:type="dxa"/>
                  <w:bottom w:w="0" w:type="dxa"/>
                  <w:right w:w="108" w:type="dxa"/>
                </w:tblCellMar>
              </w:tblPrEx>
              <w:trPr>
                <w:trHeight w:val="386"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机械</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汽车式起重机 20t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942.85</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0.231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履带式起重机 100t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2737.92</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0.080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立式油压千斤顶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27.48</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12.100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交流弧焊机 32kV·A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92.84</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0.238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0.119</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二氧化碳气体保护焊机 500A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132.92</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0.238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0.119</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超声波探伤仪 0.0～10000mm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101.00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0.200</w:t>
                  </w:r>
                </w:p>
              </w:tc>
            </w:tr>
          </w:tbl>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ind w:left="-1050" w:leftChars="-50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（2）螺栓球节点网架安装</w:t>
            </w:r>
          </w:p>
          <w:p>
            <w:pPr>
              <w:widowControl/>
              <w:ind w:left="900" w:hanging="900" w:hangingChars="500"/>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工作内容：场内转运、卸料、检验、基础线测定、找正、找平、翻身</w:t>
            </w:r>
            <w:r>
              <w:rPr>
                <w:rFonts w:hint="eastAsia" w:ascii="宋体" w:hAnsi="宋体" w:eastAsia="宋体" w:cs="宋体"/>
                <w:color w:val="auto"/>
                <w:kern w:val="0"/>
                <w:sz w:val="18"/>
                <w:szCs w:val="18"/>
                <w:lang w:val="en-US" w:eastAsia="zh-CN"/>
              </w:rPr>
              <w:t>就位</w:t>
            </w:r>
            <w:r>
              <w:rPr>
                <w:rFonts w:hint="eastAsia" w:ascii="宋体" w:hAnsi="宋体" w:eastAsia="宋体" w:cs="宋体"/>
                <w:color w:val="auto"/>
                <w:kern w:val="0"/>
                <w:sz w:val="18"/>
                <w:szCs w:val="18"/>
              </w:rPr>
              <w:t>、吊装</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提升、</w:t>
            </w:r>
            <w:r>
              <w:rPr>
                <w:rFonts w:hint="eastAsia" w:ascii="宋体" w:hAnsi="宋体" w:eastAsia="宋体" w:cs="宋体"/>
                <w:color w:val="auto"/>
                <w:kern w:val="0"/>
                <w:sz w:val="18"/>
                <w:szCs w:val="18"/>
                <w:lang w:val="en-US" w:eastAsia="zh-CN"/>
              </w:rPr>
              <w:t>吊装</w:t>
            </w:r>
            <w:r>
              <w:rPr>
                <w:rFonts w:hint="eastAsia" w:ascii="宋体" w:hAnsi="宋体" w:eastAsia="宋体" w:cs="宋体"/>
                <w:color w:val="auto"/>
                <w:kern w:val="0"/>
                <w:sz w:val="18"/>
                <w:szCs w:val="18"/>
              </w:rPr>
              <w:t>滑移</w:t>
            </w:r>
            <w:r>
              <w:rPr>
                <w:rFonts w:hint="eastAsia" w:ascii="宋体" w:hAnsi="宋体" w:eastAsia="宋体" w:cs="宋体"/>
                <w:color w:val="auto"/>
                <w:kern w:val="0"/>
                <w:sz w:val="18"/>
                <w:szCs w:val="18"/>
                <w:lang w:eastAsia="zh-CN"/>
              </w:rPr>
              <w:t>）、</w:t>
            </w:r>
          </w:p>
          <w:p>
            <w:pPr>
              <w:widowControl/>
              <w:ind w:left="893" w:leftChars="425" w:firstLine="0" w:firstLineChars="0"/>
              <w:jc w:val="lef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就位、校正、</w:t>
            </w:r>
            <w:r>
              <w:rPr>
                <w:rFonts w:hint="eastAsia" w:ascii="宋体" w:hAnsi="宋体" w:eastAsia="宋体" w:cs="宋体"/>
                <w:color w:val="auto"/>
                <w:kern w:val="0"/>
                <w:sz w:val="18"/>
                <w:szCs w:val="18"/>
                <w:lang w:val="en-US" w:eastAsia="zh-CN"/>
              </w:rPr>
              <w:t>固定、</w:t>
            </w:r>
            <w:r>
              <w:rPr>
                <w:rFonts w:hint="eastAsia" w:ascii="宋体" w:hAnsi="宋体" w:eastAsia="宋体" w:cs="宋体"/>
                <w:color w:val="auto"/>
                <w:kern w:val="0"/>
                <w:sz w:val="18"/>
                <w:szCs w:val="18"/>
              </w:rPr>
              <w:t>焊接及超探检验、零星除锈、补漆、清理等。</w:t>
            </w:r>
          </w:p>
          <w:tbl>
            <w:tblPr>
              <w:tblStyle w:val="10"/>
              <w:tblW w:w="8317" w:type="dxa"/>
              <w:tblInd w:w="0" w:type="dxa"/>
              <w:tblLayout w:type="fixed"/>
              <w:tblCellMar>
                <w:top w:w="0" w:type="dxa"/>
                <w:left w:w="108" w:type="dxa"/>
                <w:bottom w:w="0" w:type="dxa"/>
                <w:right w:w="108" w:type="dxa"/>
              </w:tblCellMar>
            </w:tblPr>
            <w:tblGrid>
              <w:gridCol w:w="928"/>
              <w:gridCol w:w="216"/>
              <w:gridCol w:w="2312"/>
              <w:gridCol w:w="645"/>
              <w:gridCol w:w="1050"/>
              <w:gridCol w:w="425"/>
              <w:gridCol w:w="596"/>
              <w:gridCol w:w="1065"/>
              <w:gridCol w:w="1080"/>
            </w:tblGrid>
            <w:tr>
              <w:tblPrEx>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ascii="宋体" w:hAnsi="宋体" w:eastAsia="宋体" w:cs="宋体"/>
                      <w:color w:val="auto"/>
                      <w:sz w:val="18"/>
                      <w:szCs w:val="18"/>
                    </w:rPr>
                  </w:pPr>
                </w:p>
              </w:tc>
              <w:tc>
                <w:tcPr>
                  <w:tcW w:w="2312" w:type="dxa"/>
                  <w:tcBorders>
                    <w:top w:val="nil"/>
                    <w:left w:val="nil"/>
                    <w:bottom w:val="single" w:color="000000" w:sz="4" w:space="0"/>
                    <w:right w:val="nil"/>
                  </w:tcBorders>
                  <w:shd w:val="clear" w:color="auto" w:fill="auto"/>
                  <w:vAlign w:val="center"/>
                </w:tcPr>
                <w:p>
                  <w:pPr>
                    <w:jc w:val="left"/>
                    <w:rPr>
                      <w:rFonts w:ascii="宋体" w:hAnsi="宋体" w:eastAsia="宋体" w:cs="宋体"/>
                      <w:color w:val="auto"/>
                      <w:sz w:val="18"/>
                      <w:szCs w:val="18"/>
                    </w:rPr>
                  </w:pPr>
                </w:p>
              </w:tc>
              <w:tc>
                <w:tcPr>
                  <w:tcW w:w="645" w:type="dxa"/>
                  <w:tcBorders>
                    <w:top w:val="nil"/>
                    <w:left w:val="nil"/>
                    <w:bottom w:val="single" w:color="000000" w:sz="4" w:space="0"/>
                    <w:right w:val="nil"/>
                  </w:tcBorders>
                  <w:shd w:val="clear" w:color="auto" w:fill="auto"/>
                  <w:vAlign w:val="center"/>
                </w:tcPr>
                <w:p>
                  <w:pPr>
                    <w:jc w:val="center"/>
                    <w:rPr>
                      <w:color w:val="auto"/>
                    </w:rPr>
                  </w:pPr>
                </w:p>
              </w:tc>
              <w:tc>
                <w:tcPr>
                  <w:tcW w:w="1050"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425"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596"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kern w:val="0"/>
                      <w:sz w:val="18"/>
                      <w:szCs w:val="18"/>
                    </w:rPr>
                  </w:pPr>
                </w:p>
              </w:tc>
              <w:tc>
                <w:tcPr>
                  <w:tcW w:w="2145" w:type="dxa"/>
                  <w:gridSpan w:val="2"/>
                  <w:tcBorders>
                    <w:top w:val="nil"/>
                    <w:left w:val="nil"/>
                    <w:bottom w:val="single" w:color="000000" w:sz="4" w:space="0"/>
                    <w:right w:val="nil"/>
                  </w:tcBorders>
                  <w:shd w:val="clear" w:color="auto" w:fill="auto"/>
                  <w:vAlign w:val="center"/>
                </w:tcPr>
                <w:p>
                  <w:pPr>
                    <w:widowControl/>
                    <w:ind w:left="-402" w:leftChars="-200" w:hanging="18" w:hangingChars="10"/>
                    <w:jc w:val="righ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计量单位：t</w:t>
                  </w:r>
                </w:p>
              </w:tc>
            </w:tr>
            <w:tr>
              <w:tblPrEx>
                <w:tblCellMar>
                  <w:top w:w="0" w:type="dxa"/>
                  <w:left w:w="108" w:type="dxa"/>
                  <w:bottom w:w="0" w:type="dxa"/>
                  <w:right w:w="108" w:type="dxa"/>
                </w:tblCellMar>
              </w:tblPrEx>
              <w:trPr>
                <w:trHeight w:val="418" w:hRule="atLeast"/>
              </w:trPr>
              <w:tc>
                <w:tcPr>
                  <w:tcW w:w="51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定  额  编  号</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建6B-12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建6B-14</w:t>
                  </w:r>
                </w:p>
              </w:tc>
            </w:tr>
            <w:tr>
              <w:tblPrEx>
                <w:tblCellMar>
                  <w:top w:w="0" w:type="dxa"/>
                  <w:left w:w="108" w:type="dxa"/>
                  <w:bottom w:w="0" w:type="dxa"/>
                  <w:right w:w="108" w:type="dxa"/>
                </w:tblCellMar>
              </w:tblPrEx>
              <w:trPr>
                <w:trHeight w:val="413" w:hRule="atLeast"/>
              </w:trPr>
              <w:tc>
                <w:tcPr>
                  <w:tcW w:w="515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项  目</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高空散</w:t>
                  </w:r>
                  <w:r>
                    <w:rPr>
                      <w:rFonts w:hint="eastAsia" w:ascii="宋体" w:hAnsi="宋体" w:eastAsia="宋体" w:cs="宋体"/>
                      <w:color w:val="auto"/>
                      <w:sz w:val="18"/>
                      <w:szCs w:val="18"/>
                      <w:lang w:val="en-US" w:eastAsia="zh-CN"/>
                    </w:rPr>
                    <w:t>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单元、整体提升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单元、整体滑移</w:t>
                  </w:r>
                </w:p>
              </w:tc>
            </w:tr>
            <w:tr>
              <w:tblPrEx>
                <w:tblCellMar>
                  <w:top w:w="0" w:type="dxa"/>
                  <w:left w:w="108" w:type="dxa"/>
                  <w:bottom w:w="0" w:type="dxa"/>
                  <w:right w:w="108" w:type="dxa"/>
                </w:tblCellMar>
              </w:tblPrEx>
              <w:trPr>
                <w:trHeight w:val="488" w:hRule="atLeast"/>
              </w:trPr>
              <w:tc>
                <w:tcPr>
                  <w:tcW w:w="51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基     价  （元）</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1401.77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943.61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1105.59</w:t>
                  </w:r>
                </w:p>
              </w:tc>
            </w:tr>
            <w:tr>
              <w:tblPrEx>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其中</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人   工   费（元）</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839.79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236.69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209.87</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材   料   费（元）</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344.18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344.18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344.18</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机   械   费（元）</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217.80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362.74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551.54</w:t>
                  </w:r>
                </w:p>
              </w:tc>
            </w:tr>
            <w:tr>
              <w:tblPrEx>
                <w:tblCellMar>
                  <w:top w:w="0" w:type="dxa"/>
                  <w:left w:w="108" w:type="dxa"/>
                  <w:bottom w:w="0" w:type="dxa"/>
                  <w:right w:w="108" w:type="dxa"/>
                </w:tblCellMar>
              </w:tblPrEx>
              <w:trPr>
                <w:trHeight w:val="458" w:hRule="atLeast"/>
              </w:trPr>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单价（元）</w:t>
                  </w:r>
                </w:p>
              </w:tc>
              <w:tc>
                <w:tcPr>
                  <w:tcW w:w="31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消耗量</w:t>
                  </w:r>
                </w:p>
              </w:tc>
            </w:tr>
            <w:tr>
              <w:trPr>
                <w:trHeight w:val="36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人工</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auto"/>
                    </w:rPr>
                  </w:pPr>
                  <w:r>
                    <w:rPr>
                      <w:rFonts w:hint="eastAsia" w:ascii="宋体" w:hAnsi="宋体" w:eastAsia="宋体" w:cs="宋体"/>
                      <w:color w:val="auto"/>
                      <w:kern w:val="0"/>
                      <w:sz w:val="18"/>
                      <w:szCs w:val="18"/>
                    </w:rPr>
                    <w:t>三类人工</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工日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155.00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5.418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1.354</w:t>
                  </w:r>
                </w:p>
              </w:tc>
            </w:tr>
            <w:tr>
              <w:tblPrEx>
                <w:tblCellMar>
                  <w:top w:w="0" w:type="dxa"/>
                  <w:left w:w="108" w:type="dxa"/>
                  <w:bottom w:w="0" w:type="dxa"/>
                  <w:right w:w="108" w:type="dxa"/>
                </w:tblCellMar>
              </w:tblPrEx>
              <w:trPr>
                <w:trHeight w:val="382"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材料</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螺栓球节点网架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sz w:val="18"/>
                      <w:szCs w:val="18"/>
                    </w:rPr>
                    <w:t>（1.000）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金属结构铁件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5.60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3.570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3.570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3.570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六角带帽螺栓 综合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5.47</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19.890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19.890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19.890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吊装夹具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0.060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0.060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钢丝绳 综合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6.45</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8.200</w:t>
                  </w:r>
                </w:p>
              </w:tc>
            </w:tr>
            <w:tr>
              <w:tblPrEx>
                <w:tblCellMar>
                  <w:top w:w="0" w:type="dxa"/>
                  <w:left w:w="108" w:type="dxa"/>
                  <w:bottom w:w="0" w:type="dxa"/>
                  <w:right w:w="108" w:type="dxa"/>
                </w:tblCellMar>
              </w:tblPrEx>
              <w:trPr>
                <w:trHeight w:val="33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垫木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2328.00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0.034</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 底漆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13.79</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4.240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4.240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环氧富锌底漆稀释剂</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11.21</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0.339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0.339</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 xml:space="preserve">其他材料费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1.00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14.900</w:t>
                  </w:r>
                </w:p>
              </w:tc>
            </w:tr>
            <w:tr>
              <w:tblPrEx>
                <w:tblCellMar>
                  <w:top w:w="0" w:type="dxa"/>
                  <w:left w:w="108" w:type="dxa"/>
                  <w:bottom w:w="0" w:type="dxa"/>
                  <w:right w:w="108" w:type="dxa"/>
                </w:tblCellMar>
              </w:tblPrEx>
              <w:trPr>
                <w:trHeight w:val="386"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机械</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汽车式起重机 20t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942.85</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0.231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tblPrEx>
                <w:tblCellMar>
                  <w:top w:w="0" w:type="dxa"/>
                  <w:left w:w="108" w:type="dxa"/>
                  <w:bottom w:w="0" w:type="dxa"/>
                  <w:right w:w="108" w:type="dxa"/>
                </w:tblCellMar>
              </w:tblPrEx>
              <w:trPr>
                <w:trHeight w:val="381" w:hRule="atLeast"/>
              </w:trPr>
              <w:tc>
                <w:tcPr>
                  <w:tcW w:w="928" w:type="dxa"/>
                  <w:vMerge w:val="continue"/>
                  <w:tcBorders>
                    <w:left w:val="single" w:color="000000" w:sz="4" w:space="0"/>
                    <w:bottom w:val="single" w:color="auto"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履带式起重机 100t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2737.92</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0.080</w:t>
                  </w:r>
                </w:p>
              </w:tc>
            </w:tr>
            <w:tr>
              <w:tblPrEx>
                <w:tblCellMar>
                  <w:top w:w="0" w:type="dxa"/>
                  <w:left w:w="108" w:type="dxa"/>
                  <w:bottom w:w="0" w:type="dxa"/>
                  <w:right w:w="108" w:type="dxa"/>
                </w:tblCellMar>
              </w:tblPrEx>
              <w:trPr>
                <w:trHeight w:val="381" w:hRule="atLeast"/>
              </w:trPr>
              <w:tc>
                <w:tcPr>
                  <w:tcW w:w="928" w:type="dxa"/>
                  <w:vMerge w:val="continue"/>
                  <w:tcBorders>
                    <w:left w:val="single" w:color="000000" w:sz="4" w:space="0"/>
                    <w:bottom w:val="single" w:color="auto"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立式油压千斤顶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27.48</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12.100</w:t>
                  </w:r>
                </w:p>
              </w:tc>
            </w:tr>
          </w:tbl>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p>
            <w:pPr>
              <w:widowControl/>
              <w:ind w:left="-1050" w:leftChars="-50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（3）钢网架</w:t>
            </w:r>
            <w:r>
              <w:rPr>
                <w:rFonts w:hint="eastAsia" w:ascii="宋体" w:hAnsi="宋体" w:eastAsia="宋体" w:cs="宋体"/>
                <w:b/>
                <w:bCs/>
                <w:color w:val="auto"/>
                <w:kern w:val="0"/>
                <w:sz w:val="24"/>
                <w:lang w:val="en-US" w:eastAsia="zh-CN"/>
              </w:rPr>
              <w:t>地面</w:t>
            </w:r>
            <w:r>
              <w:rPr>
                <w:rFonts w:hint="eastAsia" w:ascii="宋体" w:hAnsi="宋体" w:eastAsia="宋体" w:cs="宋体"/>
                <w:b/>
                <w:bCs/>
                <w:color w:val="auto"/>
                <w:kern w:val="0"/>
                <w:sz w:val="24"/>
              </w:rPr>
              <w:t>拼装</w:t>
            </w:r>
          </w:p>
          <w:p>
            <w:pPr>
              <w:widowControl/>
              <w:ind w:left="900" w:hanging="900" w:hangingChars="500"/>
              <w:jc w:val="lef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工作内容：放线、卸料、检验、划线、组立、焊接及超探检验、翻身、校正、调平、清理、补漆。</w:t>
            </w:r>
          </w:p>
          <w:tbl>
            <w:tblPr>
              <w:tblStyle w:val="10"/>
              <w:tblW w:w="8357" w:type="dxa"/>
              <w:tblInd w:w="0" w:type="dxa"/>
              <w:tblLayout w:type="fixed"/>
              <w:tblCellMar>
                <w:top w:w="0" w:type="dxa"/>
                <w:left w:w="108" w:type="dxa"/>
                <w:bottom w:w="0" w:type="dxa"/>
                <w:right w:w="108" w:type="dxa"/>
              </w:tblCellMar>
            </w:tblPr>
            <w:tblGrid>
              <w:gridCol w:w="928"/>
              <w:gridCol w:w="216"/>
              <w:gridCol w:w="2503"/>
              <w:gridCol w:w="630"/>
              <w:gridCol w:w="1044"/>
              <w:gridCol w:w="240"/>
              <w:gridCol w:w="1266"/>
              <w:gridCol w:w="1530"/>
            </w:tblGrid>
            <w:tr>
              <w:tblPrEx>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ascii="宋体" w:hAnsi="宋体" w:eastAsia="宋体" w:cs="宋体"/>
                      <w:color w:val="auto"/>
                      <w:sz w:val="18"/>
                      <w:szCs w:val="18"/>
                    </w:rPr>
                  </w:pPr>
                </w:p>
              </w:tc>
              <w:tc>
                <w:tcPr>
                  <w:tcW w:w="2503" w:type="dxa"/>
                  <w:tcBorders>
                    <w:top w:val="nil"/>
                    <w:left w:val="nil"/>
                    <w:bottom w:val="single" w:color="000000" w:sz="4" w:space="0"/>
                    <w:right w:val="nil"/>
                  </w:tcBorders>
                  <w:shd w:val="clear" w:color="auto" w:fill="auto"/>
                  <w:vAlign w:val="center"/>
                </w:tcPr>
                <w:p>
                  <w:pPr>
                    <w:jc w:val="left"/>
                    <w:rPr>
                      <w:rFonts w:ascii="宋体" w:hAnsi="宋体" w:eastAsia="宋体" w:cs="宋体"/>
                      <w:color w:val="auto"/>
                      <w:sz w:val="18"/>
                      <w:szCs w:val="18"/>
                    </w:rPr>
                  </w:pPr>
                </w:p>
              </w:tc>
              <w:tc>
                <w:tcPr>
                  <w:tcW w:w="630" w:type="dxa"/>
                  <w:tcBorders>
                    <w:top w:val="nil"/>
                    <w:left w:val="nil"/>
                    <w:bottom w:val="single" w:color="000000" w:sz="4" w:space="0"/>
                    <w:right w:val="nil"/>
                  </w:tcBorders>
                  <w:shd w:val="clear" w:color="auto" w:fill="auto"/>
                  <w:vAlign w:val="center"/>
                </w:tcPr>
                <w:p>
                  <w:pPr>
                    <w:jc w:val="center"/>
                    <w:rPr>
                      <w:color w:val="auto"/>
                    </w:rPr>
                  </w:pPr>
                </w:p>
              </w:tc>
              <w:tc>
                <w:tcPr>
                  <w:tcW w:w="1044"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240"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1266"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kern w:val="0"/>
                      <w:sz w:val="18"/>
                      <w:szCs w:val="18"/>
                    </w:rPr>
                  </w:pPr>
                </w:p>
              </w:tc>
              <w:tc>
                <w:tcPr>
                  <w:tcW w:w="1530" w:type="dxa"/>
                  <w:tcBorders>
                    <w:top w:val="nil"/>
                    <w:left w:val="nil"/>
                    <w:bottom w:val="single" w:color="000000" w:sz="4" w:space="0"/>
                    <w:right w:val="nil"/>
                  </w:tcBorders>
                  <w:shd w:val="clear" w:color="auto" w:fill="auto"/>
                  <w:vAlign w:val="center"/>
                </w:tcPr>
                <w:p>
                  <w:pPr>
                    <w:jc w:val="both"/>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计量单位：t</w:t>
                  </w:r>
                </w:p>
              </w:tc>
            </w:tr>
            <w:tr>
              <w:tblPrEx>
                <w:tblCellMar>
                  <w:top w:w="0" w:type="dxa"/>
                  <w:left w:w="108" w:type="dxa"/>
                  <w:bottom w:w="0" w:type="dxa"/>
                  <w:right w:w="108" w:type="dxa"/>
                </w:tblCellMar>
              </w:tblPrEx>
              <w:trPr>
                <w:trHeight w:val="41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定  额  编  号</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建6B-15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建6B-1</w:t>
                  </w:r>
                  <w:r>
                    <w:rPr>
                      <w:rFonts w:hint="eastAsia" w:ascii="宋体" w:hAnsi="宋体" w:eastAsia="宋体" w:cs="宋体"/>
                      <w:color w:val="auto"/>
                      <w:kern w:val="0"/>
                      <w:sz w:val="18"/>
                      <w:szCs w:val="18"/>
                      <w:lang w:val="en-US" w:eastAsia="zh-CN"/>
                    </w:rPr>
                    <w:t>6</w:t>
                  </w:r>
                </w:p>
              </w:tc>
            </w:tr>
            <w:tr>
              <w:tblPrEx>
                <w:tblCellMar>
                  <w:top w:w="0" w:type="dxa"/>
                  <w:left w:w="108" w:type="dxa"/>
                  <w:bottom w:w="0" w:type="dxa"/>
                  <w:right w:w="108" w:type="dxa"/>
                </w:tblCellMar>
              </w:tblPrEx>
              <w:trPr>
                <w:trHeight w:val="413" w:hRule="atLeast"/>
              </w:trPr>
              <w:tc>
                <w:tcPr>
                  <w:tcW w:w="532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项  目</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焊接空心球网架拼装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螺栓球节点网架拼装</w:t>
                  </w:r>
                </w:p>
              </w:tc>
            </w:tr>
            <w:tr>
              <w:tblPrEx>
                <w:tblCellMar>
                  <w:top w:w="0" w:type="dxa"/>
                  <w:left w:w="108" w:type="dxa"/>
                  <w:bottom w:w="0" w:type="dxa"/>
                  <w:right w:w="108" w:type="dxa"/>
                </w:tblCellMar>
              </w:tblPrEx>
              <w:trPr>
                <w:trHeight w:val="488"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基     价  （元）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1095.84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abs>
                      <w:tab w:val="left" w:pos="1260"/>
                    </w:tabs>
                    <w:ind w:right="69" w:rightChars="33"/>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1192.05</w:t>
                  </w:r>
                </w:p>
              </w:tc>
            </w:tr>
            <w:tr>
              <w:tblPrEx>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其中</w:t>
                  </w: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人   工   费（元）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325.50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588.38</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材   料   费（元）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377.44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273.86</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3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机   械   费（元）</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392.90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329.81</w:t>
                  </w:r>
                </w:p>
              </w:tc>
            </w:tr>
            <w:tr>
              <w:tblPrEx>
                <w:tblCellMar>
                  <w:top w:w="0" w:type="dxa"/>
                  <w:left w:w="108" w:type="dxa"/>
                  <w:bottom w:w="0" w:type="dxa"/>
                  <w:right w:w="108" w:type="dxa"/>
                </w:tblCellMar>
              </w:tblPrEx>
              <w:trPr>
                <w:trHeight w:val="458" w:hRule="atLeast"/>
              </w:trPr>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单价（元）</w:t>
                  </w:r>
                </w:p>
              </w:tc>
              <w:tc>
                <w:tcPr>
                  <w:tcW w:w="3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消耗量</w:t>
                  </w:r>
                </w:p>
              </w:tc>
            </w:tr>
            <w:tr>
              <w:tblPrEx>
                <w:tblCellMar>
                  <w:top w:w="0" w:type="dxa"/>
                  <w:left w:w="108" w:type="dxa"/>
                  <w:bottom w:w="0" w:type="dxa"/>
                  <w:right w:w="108" w:type="dxa"/>
                </w:tblCellMar>
              </w:tblPrEx>
              <w:trPr>
                <w:trHeight w:val="36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人工</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auto"/>
                    </w:rPr>
                  </w:pPr>
                  <w:r>
                    <w:rPr>
                      <w:rFonts w:hint="eastAsia" w:ascii="宋体" w:hAnsi="宋体" w:eastAsia="宋体" w:cs="宋体"/>
                      <w:color w:val="auto"/>
                      <w:kern w:val="0"/>
                      <w:sz w:val="18"/>
                      <w:szCs w:val="18"/>
                    </w:rPr>
                    <w:t>三类人工</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工日</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155.00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3.796</w:t>
                  </w:r>
                </w:p>
              </w:tc>
            </w:tr>
            <w:tr>
              <w:tblPrEx>
                <w:tblCellMar>
                  <w:top w:w="0" w:type="dxa"/>
                  <w:left w:w="108" w:type="dxa"/>
                  <w:bottom w:w="0" w:type="dxa"/>
                  <w:right w:w="108" w:type="dxa"/>
                </w:tblCellMar>
              </w:tblPrEx>
              <w:trPr>
                <w:trHeight w:val="359" w:hRule="atLeast"/>
              </w:trPr>
              <w:tc>
                <w:tcPr>
                  <w:tcW w:w="928" w:type="dxa"/>
                  <w:vMerge w:val="restart"/>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材料</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金属结构铁件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5.60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6.630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3.570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六角带帽螺栓 综合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5.47</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4.945</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氧气</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3.62</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5.265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二氧化碳气体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5.265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焊丝 φ3.2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10.78</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6.582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乙炔气</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8.90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2.896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钢丝绳 综合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6.45</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8.200</w:t>
                  </w:r>
                </w:p>
              </w:tc>
            </w:tr>
            <w:tr>
              <w:tblPrEx>
                <w:tblCellMar>
                  <w:top w:w="0" w:type="dxa"/>
                  <w:left w:w="108" w:type="dxa"/>
                  <w:bottom w:w="0" w:type="dxa"/>
                  <w:right w:w="108" w:type="dxa"/>
                </w:tblCellMar>
              </w:tblPrEx>
              <w:trPr>
                <w:trHeight w:val="33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垫木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2328.00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0.034</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 底漆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13.79</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4.240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4.24</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环氧富锌底漆稀释剂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11.21</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0.424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0.424</w:t>
                  </w:r>
                </w:p>
              </w:tc>
            </w:tr>
            <w:tr>
              <w:tblPrEx>
                <w:tblCellMar>
                  <w:top w:w="0" w:type="dxa"/>
                  <w:left w:w="108" w:type="dxa"/>
                  <w:bottom w:w="0" w:type="dxa"/>
                  <w:right w:w="108" w:type="dxa"/>
                </w:tblCellMar>
              </w:tblPrEx>
              <w:trPr>
                <w:trHeight w:val="386"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 xml:space="preserve">其他材料费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23.840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31.550</w:t>
                  </w:r>
                </w:p>
              </w:tc>
            </w:tr>
            <w:tr>
              <w:tblPrEx>
                <w:tblCellMar>
                  <w:top w:w="0" w:type="dxa"/>
                  <w:left w:w="108" w:type="dxa"/>
                  <w:bottom w:w="0" w:type="dxa"/>
                  <w:right w:w="108" w:type="dxa"/>
                </w:tblCellMar>
              </w:tblPrEx>
              <w:trPr>
                <w:trHeight w:val="386"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机械</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汽车式起重机 </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rPr>
                    <w:t>0t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942.85</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0.250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0.250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汽车式起重机 40t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1517.63</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0.</w:t>
                  </w:r>
                  <w:r>
                    <w:rPr>
                      <w:rFonts w:hint="eastAsia" w:ascii="宋体" w:hAnsi="宋体" w:eastAsia="宋体" w:cs="宋体"/>
                      <w:color w:val="auto"/>
                      <w:kern w:val="0"/>
                      <w:sz w:val="18"/>
                      <w:szCs w:val="18"/>
                      <w:lang w:val="en-US" w:eastAsia="zh-CN"/>
                    </w:rPr>
                    <w:t>062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0.062</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交流弧焊机 32kV·A</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92.84</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0.190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二氧化碳气体保护焊机 500A</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132.92</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0.190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kern w:val="0"/>
                      <w:sz w:val="18"/>
                      <w:szCs w:val="18"/>
                    </w:rPr>
                  </w:pP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超声波探伤仪 0.0～10000mm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101.00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bl>
          <w:p>
            <w:pPr>
              <w:widowControl/>
              <w:jc w:val="left"/>
              <w:textAlignment w:val="center"/>
              <w:rPr>
                <w:rFonts w:ascii="宋体" w:hAnsi="宋体" w:eastAsia="宋体" w:cs="宋体"/>
                <w:color w:val="auto"/>
                <w:kern w:val="0"/>
                <w:sz w:val="18"/>
                <w:szCs w:val="18"/>
              </w:rPr>
            </w:pPr>
          </w:p>
          <w:p>
            <w:pPr>
              <w:widowControl/>
              <w:ind w:left="-1050" w:leftChars="-500"/>
              <w:jc w:val="center"/>
              <w:textAlignment w:val="center"/>
              <w:rPr>
                <w:rFonts w:ascii="宋体" w:hAnsi="宋体" w:eastAsia="宋体" w:cs="宋体"/>
                <w:b/>
                <w:bCs/>
                <w:color w:val="auto"/>
                <w:kern w:val="0"/>
                <w:sz w:val="24"/>
              </w:rPr>
            </w:pPr>
          </w:p>
          <w:p>
            <w:pPr>
              <w:widowControl/>
              <w:ind w:left="-1050" w:leftChars="-500"/>
              <w:jc w:val="center"/>
              <w:textAlignment w:val="center"/>
              <w:rPr>
                <w:rFonts w:ascii="宋体" w:hAnsi="宋体" w:eastAsia="宋体" w:cs="宋体"/>
                <w:b/>
                <w:bCs/>
                <w:color w:val="auto"/>
                <w:kern w:val="0"/>
                <w:sz w:val="24"/>
              </w:rPr>
            </w:pPr>
          </w:p>
          <w:p>
            <w:pPr>
              <w:widowControl/>
              <w:ind w:left="-1050" w:leftChars="-500"/>
              <w:jc w:val="center"/>
              <w:textAlignment w:val="center"/>
              <w:rPr>
                <w:rFonts w:ascii="宋体" w:hAnsi="宋体" w:eastAsia="宋体" w:cs="宋体"/>
                <w:b/>
                <w:bCs/>
                <w:color w:val="auto"/>
                <w:kern w:val="0"/>
                <w:sz w:val="24"/>
              </w:rPr>
            </w:pPr>
          </w:p>
          <w:p>
            <w:pPr>
              <w:widowControl/>
              <w:ind w:left="-1050" w:leftChars="-500"/>
              <w:jc w:val="center"/>
              <w:textAlignment w:val="center"/>
              <w:rPr>
                <w:rFonts w:ascii="宋体" w:hAnsi="宋体" w:eastAsia="宋体" w:cs="宋体"/>
                <w:b/>
                <w:bCs/>
                <w:color w:val="auto"/>
                <w:kern w:val="0"/>
                <w:sz w:val="24"/>
              </w:rPr>
            </w:pPr>
          </w:p>
          <w:p>
            <w:pPr>
              <w:widowControl/>
              <w:ind w:left="-1050" w:leftChars="-500"/>
              <w:jc w:val="center"/>
              <w:textAlignment w:val="center"/>
              <w:rPr>
                <w:rFonts w:ascii="宋体" w:hAnsi="宋体" w:eastAsia="宋体" w:cs="宋体"/>
                <w:b/>
                <w:bCs/>
                <w:color w:val="auto"/>
                <w:kern w:val="0"/>
                <w:sz w:val="24"/>
              </w:rPr>
            </w:pPr>
          </w:p>
          <w:p>
            <w:pPr>
              <w:widowControl/>
              <w:ind w:left="-1050" w:leftChars="-500"/>
              <w:jc w:val="center"/>
              <w:textAlignment w:val="center"/>
              <w:rPr>
                <w:rFonts w:ascii="宋体" w:hAnsi="宋体" w:eastAsia="宋体" w:cs="宋体"/>
                <w:b/>
                <w:bCs/>
                <w:color w:val="auto"/>
                <w:kern w:val="0"/>
                <w:sz w:val="24"/>
              </w:rPr>
            </w:pPr>
          </w:p>
          <w:p>
            <w:pPr>
              <w:widowControl/>
              <w:ind w:left="-1050" w:leftChars="-500"/>
              <w:jc w:val="center"/>
              <w:textAlignment w:val="center"/>
              <w:rPr>
                <w:rFonts w:ascii="宋体" w:hAnsi="宋体" w:eastAsia="宋体" w:cs="宋体"/>
                <w:b/>
                <w:bCs/>
                <w:color w:val="auto"/>
                <w:kern w:val="0"/>
                <w:sz w:val="24"/>
              </w:rPr>
            </w:pPr>
          </w:p>
          <w:p>
            <w:pPr>
              <w:widowControl/>
              <w:ind w:left="-1050" w:leftChars="-500"/>
              <w:jc w:val="center"/>
              <w:textAlignment w:val="center"/>
              <w:rPr>
                <w:rFonts w:ascii="宋体" w:hAnsi="宋体" w:eastAsia="宋体" w:cs="宋体"/>
                <w:b/>
                <w:bCs/>
                <w:color w:val="auto"/>
                <w:kern w:val="0"/>
                <w:sz w:val="24"/>
              </w:rPr>
            </w:pPr>
          </w:p>
          <w:p>
            <w:pPr>
              <w:widowControl/>
              <w:ind w:left="-1050" w:leftChars="-50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（4）钢网架安装措施</w:t>
            </w:r>
          </w:p>
          <w:p>
            <w:pPr>
              <w:widowControl/>
              <w:ind w:left="900" w:hanging="900" w:hangingChars="500"/>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工作内容：场内转运、卸料、检验、划线、切割、组立、焊接及超探检验、翻身、校正、调平、清理、</w:t>
            </w:r>
          </w:p>
          <w:p>
            <w:pPr>
              <w:widowControl/>
              <w:ind w:left="893" w:leftChars="425" w:firstLine="0" w:firstLineChars="0"/>
              <w:jc w:val="lef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拆除、整理等。</w:t>
            </w:r>
          </w:p>
          <w:tbl>
            <w:tblPr>
              <w:tblStyle w:val="10"/>
              <w:tblW w:w="8256" w:type="dxa"/>
              <w:tblInd w:w="0" w:type="dxa"/>
              <w:tblLayout w:type="fixed"/>
              <w:tblCellMar>
                <w:top w:w="0" w:type="dxa"/>
                <w:left w:w="108" w:type="dxa"/>
                <w:bottom w:w="0" w:type="dxa"/>
                <w:right w:w="108" w:type="dxa"/>
              </w:tblCellMar>
            </w:tblPr>
            <w:tblGrid>
              <w:gridCol w:w="928"/>
              <w:gridCol w:w="216"/>
              <w:gridCol w:w="2312"/>
              <w:gridCol w:w="645"/>
              <w:gridCol w:w="1050"/>
              <w:gridCol w:w="425"/>
              <w:gridCol w:w="640"/>
              <w:gridCol w:w="1001"/>
              <w:gridCol w:w="1039"/>
            </w:tblGrid>
            <w:tr>
              <w:tblPrEx>
                <w:tblCellMar>
                  <w:top w:w="0" w:type="dxa"/>
                  <w:left w:w="108" w:type="dxa"/>
                  <w:bottom w:w="0" w:type="dxa"/>
                  <w:right w:w="108" w:type="dxa"/>
                </w:tblCellMar>
              </w:tblPrEx>
              <w:trPr>
                <w:trHeight w:val="340" w:hRule="atLeast"/>
              </w:trPr>
              <w:tc>
                <w:tcPr>
                  <w:tcW w:w="1144" w:type="dxa"/>
                  <w:gridSpan w:val="2"/>
                  <w:tcBorders>
                    <w:top w:val="nil"/>
                    <w:left w:val="nil"/>
                    <w:bottom w:val="single" w:color="000000" w:sz="4" w:space="0"/>
                    <w:right w:val="nil"/>
                  </w:tcBorders>
                  <w:shd w:val="clear" w:color="auto" w:fill="auto"/>
                  <w:noWrap/>
                  <w:vAlign w:val="center"/>
                </w:tcPr>
                <w:p>
                  <w:pPr>
                    <w:jc w:val="left"/>
                    <w:rPr>
                      <w:rFonts w:ascii="宋体" w:hAnsi="宋体" w:eastAsia="宋体" w:cs="宋体"/>
                      <w:color w:val="auto"/>
                      <w:sz w:val="18"/>
                      <w:szCs w:val="18"/>
                    </w:rPr>
                  </w:pPr>
                </w:p>
              </w:tc>
              <w:tc>
                <w:tcPr>
                  <w:tcW w:w="2312" w:type="dxa"/>
                  <w:tcBorders>
                    <w:top w:val="nil"/>
                    <w:left w:val="nil"/>
                    <w:bottom w:val="single" w:color="000000" w:sz="4" w:space="0"/>
                    <w:right w:val="nil"/>
                  </w:tcBorders>
                  <w:shd w:val="clear" w:color="auto" w:fill="auto"/>
                  <w:vAlign w:val="center"/>
                </w:tcPr>
                <w:p>
                  <w:pPr>
                    <w:jc w:val="left"/>
                    <w:rPr>
                      <w:rFonts w:ascii="宋体" w:hAnsi="宋体" w:eastAsia="宋体" w:cs="宋体"/>
                      <w:color w:val="auto"/>
                      <w:sz w:val="18"/>
                      <w:szCs w:val="18"/>
                    </w:rPr>
                  </w:pPr>
                </w:p>
              </w:tc>
              <w:tc>
                <w:tcPr>
                  <w:tcW w:w="645" w:type="dxa"/>
                  <w:tcBorders>
                    <w:top w:val="nil"/>
                    <w:left w:val="nil"/>
                    <w:bottom w:val="single" w:color="000000" w:sz="4" w:space="0"/>
                    <w:right w:val="nil"/>
                  </w:tcBorders>
                  <w:shd w:val="clear" w:color="auto" w:fill="auto"/>
                  <w:vAlign w:val="center"/>
                </w:tcPr>
                <w:p>
                  <w:pPr>
                    <w:jc w:val="center"/>
                    <w:rPr>
                      <w:color w:val="auto"/>
                    </w:rPr>
                  </w:pPr>
                </w:p>
              </w:tc>
              <w:tc>
                <w:tcPr>
                  <w:tcW w:w="1050"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425"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sz w:val="18"/>
                      <w:szCs w:val="18"/>
                    </w:rPr>
                  </w:pPr>
                </w:p>
              </w:tc>
              <w:tc>
                <w:tcPr>
                  <w:tcW w:w="640" w:type="dxa"/>
                  <w:tcBorders>
                    <w:top w:val="nil"/>
                    <w:left w:val="nil"/>
                    <w:bottom w:val="single" w:color="000000" w:sz="4" w:space="0"/>
                    <w:right w:val="nil"/>
                  </w:tcBorders>
                  <w:shd w:val="clear" w:color="auto" w:fill="auto"/>
                  <w:vAlign w:val="center"/>
                </w:tcPr>
                <w:p>
                  <w:pPr>
                    <w:jc w:val="center"/>
                    <w:rPr>
                      <w:rFonts w:ascii="宋体" w:hAnsi="宋体" w:eastAsia="宋体" w:cs="宋体"/>
                      <w:color w:val="auto"/>
                      <w:kern w:val="0"/>
                      <w:sz w:val="18"/>
                      <w:szCs w:val="18"/>
                    </w:rPr>
                  </w:pPr>
                </w:p>
              </w:tc>
              <w:tc>
                <w:tcPr>
                  <w:tcW w:w="2040" w:type="dxa"/>
                  <w:gridSpan w:val="2"/>
                  <w:tcBorders>
                    <w:top w:val="nil"/>
                    <w:left w:val="nil"/>
                    <w:bottom w:val="single" w:color="000000" w:sz="4" w:space="0"/>
                    <w:right w:val="nil"/>
                  </w:tcBorders>
                  <w:shd w:val="clear" w:color="auto" w:fill="auto"/>
                  <w:vAlign w:val="center"/>
                </w:tcPr>
                <w:p>
                  <w:pPr>
                    <w:widowControl/>
                    <w:ind w:left="-402" w:leftChars="-200" w:hanging="18" w:hangingChars="10"/>
                    <w:jc w:val="right"/>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计量单位：t</w:t>
                  </w:r>
                </w:p>
              </w:tc>
            </w:tr>
            <w:tr>
              <w:tblPrEx>
                <w:tblCellMar>
                  <w:top w:w="0" w:type="dxa"/>
                  <w:left w:w="108" w:type="dxa"/>
                  <w:bottom w:w="0" w:type="dxa"/>
                  <w:right w:w="108" w:type="dxa"/>
                </w:tblCellMar>
              </w:tblPrEx>
              <w:trPr>
                <w:trHeight w:val="418" w:hRule="atLeast"/>
              </w:trPr>
              <w:tc>
                <w:tcPr>
                  <w:tcW w:w="51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定  额  编  号</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rPr>
                    <w:t>建6B-1</w:t>
                  </w:r>
                  <w:r>
                    <w:rPr>
                      <w:rFonts w:hint="eastAsia" w:ascii="宋体" w:hAnsi="宋体" w:eastAsia="宋体" w:cs="宋体"/>
                      <w:color w:val="auto"/>
                      <w:kern w:val="0"/>
                      <w:sz w:val="18"/>
                      <w:szCs w:val="18"/>
                      <w:lang w:val="en-US" w:eastAsia="zh-CN"/>
                    </w:rPr>
                    <w:t>7</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建6B-1</w:t>
                  </w:r>
                  <w:r>
                    <w:rPr>
                      <w:rFonts w:hint="eastAsia" w:ascii="宋体" w:hAnsi="宋体" w:eastAsia="宋体" w:cs="宋体"/>
                      <w:color w:val="auto"/>
                      <w:kern w:val="0"/>
                      <w:sz w:val="18"/>
                      <w:szCs w:val="18"/>
                      <w:lang w:val="en-US" w:eastAsia="zh-CN"/>
                    </w:rPr>
                    <w:t>8</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建6B-1</w:t>
                  </w:r>
                  <w:r>
                    <w:rPr>
                      <w:rFonts w:hint="eastAsia" w:ascii="宋体" w:hAnsi="宋体" w:eastAsia="宋体" w:cs="宋体"/>
                      <w:color w:val="auto"/>
                      <w:kern w:val="0"/>
                      <w:sz w:val="18"/>
                      <w:szCs w:val="18"/>
                      <w:lang w:val="en-US" w:eastAsia="zh-CN"/>
                    </w:rPr>
                    <w:t>9</w:t>
                  </w:r>
                </w:p>
              </w:tc>
            </w:tr>
            <w:tr>
              <w:tblPrEx>
                <w:tblCellMar>
                  <w:top w:w="0" w:type="dxa"/>
                  <w:left w:w="108" w:type="dxa"/>
                  <w:bottom w:w="0" w:type="dxa"/>
                  <w:right w:w="108" w:type="dxa"/>
                </w:tblCellMar>
              </w:tblPrEx>
              <w:trPr>
                <w:trHeight w:val="413" w:hRule="atLeast"/>
              </w:trPr>
              <w:tc>
                <w:tcPr>
                  <w:tcW w:w="515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rPr>
                  </w:pP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yellow"/>
                    </w:rPr>
                  </w:pPr>
                  <w:r>
                    <w:rPr>
                      <w:rFonts w:hint="eastAsia" w:ascii="宋体" w:hAnsi="宋体" w:eastAsia="宋体" w:cs="宋体"/>
                      <w:color w:val="auto"/>
                      <w:sz w:val="18"/>
                      <w:szCs w:val="18"/>
                      <w:highlight w:val="none"/>
                    </w:rPr>
                    <w:t>钢网架安装施工措施费</w:t>
                  </w:r>
                </w:p>
              </w:tc>
            </w:tr>
            <w:tr>
              <w:tblPrEx>
                <w:tblCellMar>
                  <w:top w:w="0" w:type="dxa"/>
                  <w:left w:w="108" w:type="dxa"/>
                  <w:bottom w:w="0" w:type="dxa"/>
                  <w:right w:w="108" w:type="dxa"/>
                </w:tblCellMar>
              </w:tblPrEx>
              <w:trPr>
                <w:trHeight w:val="413" w:hRule="atLeast"/>
              </w:trPr>
              <w:tc>
                <w:tcPr>
                  <w:tcW w:w="5151" w:type="dxa"/>
                  <w:gridSpan w:val="5"/>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项  目</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吊装施工</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提升施工</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滑移施工</w:t>
                  </w:r>
                </w:p>
              </w:tc>
            </w:tr>
            <w:tr>
              <w:tblPrEx>
                <w:tblCellMar>
                  <w:top w:w="0" w:type="dxa"/>
                  <w:left w:w="108" w:type="dxa"/>
                  <w:bottom w:w="0" w:type="dxa"/>
                  <w:right w:w="108" w:type="dxa"/>
                </w:tblCellMar>
              </w:tblPrEx>
              <w:trPr>
                <w:trHeight w:val="488" w:hRule="atLeast"/>
              </w:trPr>
              <w:tc>
                <w:tcPr>
                  <w:tcW w:w="51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基     价  （元）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917.35</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880.94</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15</w:t>
                  </w:r>
                  <w:r>
                    <w:rPr>
                      <w:rFonts w:hint="eastAsia" w:ascii="宋体" w:hAnsi="宋体" w:eastAsia="宋体" w:cs="宋体"/>
                      <w:color w:val="auto"/>
                      <w:kern w:val="0"/>
                      <w:sz w:val="18"/>
                      <w:szCs w:val="18"/>
                      <w:lang w:val="en-US" w:eastAsia="zh-CN"/>
                    </w:rPr>
                    <w:t>31</w:t>
                  </w:r>
                  <w:bookmarkStart w:id="0" w:name="_GoBack"/>
                  <w:bookmarkEnd w:id="0"/>
                  <w:r>
                    <w:rPr>
                      <w:rFonts w:hint="eastAsia" w:ascii="宋体" w:hAnsi="宋体" w:eastAsia="宋体" w:cs="宋体"/>
                      <w:color w:val="auto"/>
                      <w:kern w:val="0"/>
                      <w:sz w:val="18"/>
                      <w:szCs w:val="18"/>
                      <w:lang w:val="en-US" w:eastAsia="zh-CN"/>
                    </w:rPr>
                    <w:t>.92</w:t>
                  </w:r>
                </w:p>
              </w:tc>
            </w:tr>
            <w:tr>
              <w:tblPrEx>
                <w:tblCellMar>
                  <w:top w:w="0" w:type="dxa"/>
                  <w:left w:w="108" w:type="dxa"/>
                  <w:bottom w:w="0" w:type="dxa"/>
                  <w:right w:w="108" w:type="dxa"/>
                </w:tblCellMar>
              </w:tblPrEx>
              <w:trPr>
                <w:trHeight w:val="488"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其中</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人   工   费（元）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518.94</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510.26</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987.97</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材   料   费（元）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228.95</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176.93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63.70</w:t>
                  </w:r>
                </w:p>
              </w:tc>
            </w:tr>
            <w:tr>
              <w:tblPrEx>
                <w:tblCellMar>
                  <w:top w:w="0" w:type="dxa"/>
                  <w:left w:w="108" w:type="dxa"/>
                  <w:bottom w:w="0" w:type="dxa"/>
                  <w:right w:w="108" w:type="dxa"/>
                </w:tblCellMar>
              </w:tblPrEx>
              <w:trPr>
                <w:trHeight w:val="488"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ascii="宋体" w:hAnsi="宋体" w:eastAsia="宋体" w:cs="宋体"/>
                      <w:color w:val="auto"/>
                      <w:sz w:val="18"/>
                      <w:szCs w:val="18"/>
                    </w:rPr>
                  </w:pP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机   械   费（元）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169.46</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193.75</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280.25</w:t>
                  </w:r>
                </w:p>
              </w:tc>
            </w:tr>
            <w:tr>
              <w:tblPrEx>
                <w:tblCellMar>
                  <w:top w:w="0" w:type="dxa"/>
                  <w:left w:w="108" w:type="dxa"/>
                  <w:bottom w:w="0" w:type="dxa"/>
                  <w:right w:w="108" w:type="dxa"/>
                </w:tblCellMar>
              </w:tblPrEx>
              <w:trPr>
                <w:trHeight w:val="458" w:hRule="atLeast"/>
              </w:trPr>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ascii="宋体" w:hAnsi="宋体" w:eastAsia="宋体" w:cs="宋体"/>
                      <w:color w:val="auto"/>
                      <w:kern w:val="0"/>
                      <w:sz w:val="18"/>
                      <w:szCs w:val="18"/>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单价（元）</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消耗量</w:t>
                  </w:r>
                </w:p>
              </w:tc>
            </w:tr>
            <w:tr>
              <w:tblPrEx>
                <w:tblCellMar>
                  <w:top w:w="0" w:type="dxa"/>
                  <w:left w:w="108" w:type="dxa"/>
                  <w:bottom w:w="0" w:type="dxa"/>
                  <w:right w:w="108" w:type="dxa"/>
                </w:tblCellMar>
              </w:tblPrEx>
              <w:trPr>
                <w:trHeight w:val="361"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人工</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auto"/>
                    </w:rPr>
                  </w:pPr>
                  <w:r>
                    <w:rPr>
                      <w:rFonts w:hint="eastAsia" w:ascii="宋体" w:hAnsi="宋体" w:eastAsia="宋体" w:cs="宋体"/>
                      <w:color w:val="auto"/>
                      <w:kern w:val="0"/>
                      <w:sz w:val="18"/>
                      <w:szCs w:val="18"/>
                    </w:rPr>
                    <w:t>三类人工</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工日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155.00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3.348</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3.292</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6.374</w:t>
                  </w:r>
                </w:p>
              </w:tc>
            </w:tr>
            <w:tr>
              <w:tblPrEx>
                <w:tblCellMar>
                  <w:top w:w="0" w:type="dxa"/>
                  <w:left w:w="108" w:type="dxa"/>
                  <w:bottom w:w="0" w:type="dxa"/>
                  <w:right w:w="108" w:type="dxa"/>
                </w:tblCellMar>
              </w:tblPrEx>
              <w:trPr>
                <w:trHeight w:val="317" w:hRule="atLeast"/>
              </w:trPr>
              <w:tc>
                <w:tcPr>
                  <w:tcW w:w="928"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材料</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hint="default" w:eastAsiaTheme="minorEastAsia"/>
                      <w:color w:val="auto"/>
                      <w:lang w:val="en-US" w:eastAsia="zh-CN"/>
                    </w:rPr>
                  </w:pPr>
                  <w:r>
                    <w:rPr>
                      <w:rFonts w:hint="eastAsia" w:ascii="宋体" w:hAnsi="宋体" w:eastAsia="宋体" w:cs="宋体"/>
                      <w:color w:val="auto"/>
                      <w:kern w:val="0"/>
                      <w:sz w:val="18"/>
                      <w:szCs w:val="18"/>
                    </w:rPr>
                    <w:t>焊丝 φ3.2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18"/>
                      <w:szCs w:val="18"/>
                      <w:lang w:val="en-US" w:eastAsia="zh-CN"/>
                    </w:rPr>
                    <w:t>10.78</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1.470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1.470</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1.470</w:t>
                  </w:r>
                </w:p>
              </w:tc>
            </w:tr>
            <w:tr>
              <w:tblPrEx>
                <w:tblCellMar>
                  <w:top w:w="0" w:type="dxa"/>
                  <w:left w:w="108" w:type="dxa"/>
                  <w:bottom w:w="0" w:type="dxa"/>
                  <w:right w:w="108" w:type="dxa"/>
                </w:tblCellMar>
              </w:tblPrEx>
              <w:trPr>
                <w:trHeight w:val="359"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氧气</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3.62</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0.979</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0.979</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0.979</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乙炔气</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8.90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0.490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0.490</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0.490</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红丹防锈漆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6.90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5.194</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5.194</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5.194</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金属周转材料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3.95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22.260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9.349</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30.902</w:t>
                  </w:r>
                </w:p>
              </w:tc>
            </w:tr>
            <w:tr>
              <w:tblPrEx>
                <w:tblCellMar>
                  <w:top w:w="0" w:type="dxa"/>
                  <w:left w:w="108" w:type="dxa"/>
                  <w:bottom w:w="0" w:type="dxa"/>
                  <w:right w:w="108" w:type="dxa"/>
                </w:tblCellMar>
              </w:tblPrEx>
              <w:trPr>
                <w:trHeight w:val="33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吊装夹具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103.00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0.001</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0.001</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0.001</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钢丝绳 综合</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kg</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6.45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0.394</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0.394</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0.394</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垫木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2328.00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0.032</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0.032</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0.032</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textDirection w:val="tbLrV"/>
                  <w:vAlign w:val="center"/>
                </w:tcPr>
                <w:p>
                  <w:pPr>
                    <w:ind w:left="113" w:right="113"/>
                    <w:jc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 xml:space="preserve">其他材料费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1.00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4.290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3.270</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4.910</w:t>
                  </w:r>
                </w:p>
              </w:tc>
            </w:tr>
            <w:tr>
              <w:tblPrEx>
                <w:tblCellMar>
                  <w:top w:w="0" w:type="dxa"/>
                  <w:left w:w="108" w:type="dxa"/>
                  <w:bottom w:w="0" w:type="dxa"/>
                  <w:right w:w="108" w:type="dxa"/>
                </w:tblCellMar>
              </w:tblPrEx>
              <w:trPr>
                <w:trHeight w:val="386" w:hRule="atLeast"/>
              </w:trPr>
              <w:tc>
                <w:tcPr>
                  <w:tcW w:w="928" w:type="dxa"/>
                  <w:vMerge w:val="restart"/>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机械</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汽车式起重机 40t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1517.63</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0.085</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0.101</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0.158</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auto"/>
                      <w:kern w:val="0"/>
                      <w:sz w:val="18"/>
                      <w:szCs w:val="18"/>
                    </w:rPr>
                  </w:pPr>
                  <w:r>
                    <w:rPr>
                      <w:rFonts w:hint="eastAsia" w:ascii="宋体" w:hAnsi="宋体" w:eastAsia="宋体" w:cs="宋体"/>
                      <w:color w:val="auto"/>
                      <w:kern w:val="0"/>
                      <w:sz w:val="18"/>
                      <w:szCs w:val="18"/>
                    </w:rPr>
                    <w:t>交流弧焊机 32kV·A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92.84</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0.297</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0.297</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0.297</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right w:val="single" w:color="000000" w:sz="4" w:space="0"/>
                  </w:tcBorders>
                  <w:shd w:val="clear" w:color="auto" w:fill="auto"/>
                  <w:noWrap/>
                  <w:textDirection w:val="tbLrV"/>
                  <w:vAlign w:val="center"/>
                </w:tcPr>
                <w:p>
                  <w:pPr>
                    <w:widowControl/>
                    <w:ind w:left="113" w:right="113"/>
                    <w:jc w:val="center"/>
                    <w:textAlignment w:val="center"/>
                    <w:rPr>
                      <w:rFonts w:ascii="宋体" w:hAnsi="宋体" w:eastAsia="宋体" w:cs="宋体"/>
                      <w:color w:val="auto"/>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二氧化碳气体保护焊机 500A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132.92</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0.021</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0.021</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0.021</w:t>
                  </w:r>
                </w:p>
              </w:tc>
            </w:tr>
            <w:tr>
              <w:tblPrEx>
                <w:tblCellMar>
                  <w:top w:w="0" w:type="dxa"/>
                  <w:left w:w="108" w:type="dxa"/>
                  <w:bottom w:w="0" w:type="dxa"/>
                  <w:right w:w="108" w:type="dxa"/>
                </w:tblCellMar>
              </w:tblPrEx>
              <w:trPr>
                <w:trHeight w:val="386" w:hRule="atLeast"/>
              </w:trPr>
              <w:tc>
                <w:tcPr>
                  <w:tcW w:w="928" w:type="dxa"/>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kern w:val="0"/>
                      <w:sz w:val="18"/>
                      <w:szCs w:val="18"/>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color w:val="auto"/>
                    </w:rPr>
                  </w:pPr>
                  <w:r>
                    <w:rPr>
                      <w:rFonts w:hint="eastAsia" w:ascii="宋体" w:hAnsi="宋体" w:eastAsia="宋体" w:cs="宋体"/>
                      <w:color w:val="auto"/>
                      <w:kern w:val="0"/>
                      <w:sz w:val="18"/>
                      <w:szCs w:val="18"/>
                    </w:rPr>
                    <w:t>超声波探伤仪 0.0～10000mm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18"/>
                      <w:szCs w:val="18"/>
                    </w:rPr>
                    <w:t>台班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101.00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0.100</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rPr>
                    <w:t>0.100</w:t>
                  </w:r>
                </w:p>
              </w:tc>
            </w:tr>
          </w:tbl>
          <w:p>
            <w:pPr>
              <w:widowControl/>
              <w:jc w:val="left"/>
              <w:textAlignment w:val="center"/>
              <w:rPr>
                <w:rFonts w:ascii="宋体" w:hAnsi="宋体" w:eastAsia="宋体" w:cs="宋体"/>
                <w:color w:val="auto"/>
                <w:kern w:val="0"/>
                <w:sz w:val="18"/>
                <w:szCs w:val="18"/>
              </w:rPr>
            </w:pPr>
          </w:p>
          <w:p>
            <w:pPr>
              <w:widowControl/>
              <w:jc w:val="left"/>
              <w:textAlignment w:val="center"/>
              <w:rPr>
                <w:rFonts w:ascii="宋体" w:hAnsi="宋体" w:eastAsia="宋体" w:cs="宋体"/>
                <w:color w:val="auto"/>
                <w:kern w:val="0"/>
                <w:sz w:val="18"/>
                <w:szCs w:val="18"/>
              </w:rPr>
            </w:pPr>
          </w:p>
        </w:tc>
      </w:tr>
    </w:tbl>
    <w:p>
      <w:pPr>
        <w:spacing w:line="360" w:lineRule="auto"/>
        <w:rPr>
          <w:rFonts w:ascii="黑体" w:hAnsi="黑体" w:eastAsia="黑体"/>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5140761"/>
      <w:docPartObj>
        <w:docPartGallery w:val="autotext"/>
      </w:docPartObj>
    </w:sdtPr>
    <w:sdtContent>
      <w:p>
        <w:pPr>
          <w:pStyle w:val="6"/>
          <w:jc w:val="right"/>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C89B7"/>
    <w:multiLevelType w:val="singleLevel"/>
    <w:tmpl w:val="85EC89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2RhZDRhMTU5N2M4NDA1N2UzMzBhMDViYzViYzEifQ=="/>
  </w:docVars>
  <w:rsids>
    <w:rsidRoot w:val="008E6CD9"/>
    <w:rsid w:val="00001A8E"/>
    <w:rsid w:val="000155AF"/>
    <w:rsid w:val="0002279A"/>
    <w:rsid w:val="000265C9"/>
    <w:rsid w:val="000278D8"/>
    <w:rsid w:val="00037C3B"/>
    <w:rsid w:val="0004029A"/>
    <w:rsid w:val="00041AA4"/>
    <w:rsid w:val="00070D9F"/>
    <w:rsid w:val="000777D8"/>
    <w:rsid w:val="00081DBB"/>
    <w:rsid w:val="00082921"/>
    <w:rsid w:val="000945B7"/>
    <w:rsid w:val="00095F72"/>
    <w:rsid w:val="000A589C"/>
    <w:rsid w:val="000B0BBE"/>
    <w:rsid w:val="000B22B2"/>
    <w:rsid w:val="000B3DCF"/>
    <w:rsid w:val="000B65E8"/>
    <w:rsid w:val="000C02BD"/>
    <w:rsid w:val="000C396D"/>
    <w:rsid w:val="000C4B65"/>
    <w:rsid w:val="000C7254"/>
    <w:rsid w:val="000D6977"/>
    <w:rsid w:val="000E058B"/>
    <w:rsid w:val="000E7F8B"/>
    <w:rsid w:val="000F45D6"/>
    <w:rsid w:val="001031AF"/>
    <w:rsid w:val="00106D98"/>
    <w:rsid w:val="0011293E"/>
    <w:rsid w:val="001224CA"/>
    <w:rsid w:val="00125D0A"/>
    <w:rsid w:val="001418BE"/>
    <w:rsid w:val="0014238F"/>
    <w:rsid w:val="00143016"/>
    <w:rsid w:val="00146666"/>
    <w:rsid w:val="00173306"/>
    <w:rsid w:val="0017443A"/>
    <w:rsid w:val="00190D54"/>
    <w:rsid w:val="001932D4"/>
    <w:rsid w:val="001B1747"/>
    <w:rsid w:val="001B20BA"/>
    <w:rsid w:val="001B4C34"/>
    <w:rsid w:val="001C5736"/>
    <w:rsid w:val="001D41EC"/>
    <w:rsid w:val="001D46B6"/>
    <w:rsid w:val="001D7A9B"/>
    <w:rsid w:val="001E1294"/>
    <w:rsid w:val="001F39DE"/>
    <w:rsid w:val="00210C32"/>
    <w:rsid w:val="002230D7"/>
    <w:rsid w:val="00230472"/>
    <w:rsid w:val="00230476"/>
    <w:rsid w:val="00234163"/>
    <w:rsid w:val="00245387"/>
    <w:rsid w:val="00246F54"/>
    <w:rsid w:val="0026658E"/>
    <w:rsid w:val="002713FB"/>
    <w:rsid w:val="00290491"/>
    <w:rsid w:val="002916A6"/>
    <w:rsid w:val="00296965"/>
    <w:rsid w:val="002B04C4"/>
    <w:rsid w:val="002B623D"/>
    <w:rsid w:val="002C44ED"/>
    <w:rsid w:val="002D24E4"/>
    <w:rsid w:val="002D4538"/>
    <w:rsid w:val="002F12DB"/>
    <w:rsid w:val="0030327D"/>
    <w:rsid w:val="003040BC"/>
    <w:rsid w:val="003064AB"/>
    <w:rsid w:val="00310B3B"/>
    <w:rsid w:val="0031120B"/>
    <w:rsid w:val="003177D5"/>
    <w:rsid w:val="00323771"/>
    <w:rsid w:val="003350D4"/>
    <w:rsid w:val="00335416"/>
    <w:rsid w:val="00343D5C"/>
    <w:rsid w:val="00351F3C"/>
    <w:rsid w:val="003575E4"/>
    <w:rsid w:val="00364712"/>
    <w:rsid w:val="003868F0"/>
    <w:rsid w:val="00395BD2"/>
    <w:rsid w:val="003A408D"/>
    <w:rsid w:val="003A6215"/>
    <w:rsid w:val="003A6A74"/>
    <w:rsid w:val="003D3673"/>
    <w:rsid w:val="003D6BC2"/>
    <w:rsid w:val="003E55E9"/>
    <w:rsid w:val="003E5E45"/>
    <w:rsid w:val="003E61F0"/>
    <w:rsid w:val="00406EDB"/>
    <w:rsid w:val="0041445D"/>
    <w:rsid w:val="00431151"/>
    <w:rsid w:val="00437E47"/>
    <w:rsid w:val="00445D8E"/>
    <w:rsid w:val="00471230"/>
    <w:rsid w:val="00474D4C"/>
    <w:rsid w:val="0049571B"/>
    <w:rsid w:val="00496896"/>
    <w:rsid w:val="004B258E"/>
    <w:rsid w:val="004B541E"/>
    <w:rsid w:val="004D3B97"/>
    <w:rsid w:val="004E2363"/>
    <w:rsid w:val="004E7688"/>
    <w:rsid w:val="004F08C6"/>
    <w:rsid w:val="00502F2C"/>
    <w:rsid w:val="00506030"/>
    <w:rsid w:val="0052631C"/>
    <w:rsid w:val="00530DE3"/>
    <w:rsid w:val="00534967"/>
    <w:rsid w:val="00536B21"/>
    <w:rsid w:val="00544AF2"/>
    <w:rsid w:val="00563B67"/>
    <w:rsid w:val="00564896"/>
    <w:rsid w:val="005711C1"/>
    <w:rsid w:val="0058346A"/>
    <w:rsid w:val="00586EB3"/>
    <w:rsid w:val="00595346"/>
    <w:rsid w:val="005A280C"/>
    <w:rsid w:val="005B0FC0"/>
    <w:rsid w:val="005B7433"/>
    <w:rsid w:val="005C4DF5"/>
    <w:rsid w:val="005C5C08"/>
    <w:rsid w:val="005D50F1"/>
    <w:rsid w:val="005E518F"/>
    <w:rsid w:val="005E60F9"/>
    <w:rsid w:val="006032A3"/>
    <w:rsid w:val="00620DE1"/>
    <w:rsid w:val="00626108"/>
    <w:rsid w:val="00627E8B"/>
    <w:rsid w:val="006303BA"/>
    <w:rsid w:val="00632A16"/>
    <w:rsid w:val="00654772"/>
    <w:rsid w:val="006619BA"/>
    <w:rsid w:val="0067325D"/>
    <w:rsid w:val="00675CA3"/>
    <w:rsid w:val="00676B27"/>
    <w:rsid w:val="006810A4"/>
    <w:rsid w:val="006A2EC5"/>
    <w:rsid w:val="006A57C8"/>
    <w:rsid w:val="006B6FDD"/>
    <w:rsid w:val="006C62B8"/>
    <w:rsid w:val="006D612F"/>
    <w:rsid w:val="006E269D"/>
    <w:rsid w:val="006F3047"/>
    <w:rsid w:val="006F5656"/>
    <w:rsid w:val="00703EF7"/>
    <w:rsid w:val="007066D0"/>
    <w:rsid w:val="007245C8"/>
    <w:rsid w:val="00731037"/>
    <w:rsid w:val="007402FB"/>
    <w:rsid w:val="00754F79"/>
    <w:rsid w:val="007565D0"/>
    <w:rsid w:val="007642E2"/>
    <w:rsid w:val="00773439"/>
    <w:rsid w:val="00791B57"/>
    <w:rsid w:val="007C02FD"/>
    <w:rsid w:val="007C4689"/>
    <w:rsid w:val="007D0227"/>
    <w:rsid w:val="007F347A"/>
    <w:rsid w:val="00800503"/>
    <w:rsid w:val="0082015A"/>
    <w:rsid w:val="00820D52"/>
    <w:rsid w:val="0083739E"/>
    <w:rsid w:val="00845081"/>
    <w:rsid w:val="00851917"/>
    <w:rsid w:val="00853F62"/>
    <w:rsid w:val="00854FD3"/>
    <w:rsid w:val="008558BA"/>
    <w:rsid w:val="00856A10"/>
    <w:rsid w:val="00861F8A"/>
    <w:rsid w:val="00887C5E"/>
    <w:rsid w:val="0089194F"/>
    <w:rsid w:val="008D131F"/>
    <w:rsid w:val="008D4CF8"/>
    <w:rsid w:val="008E6CD9"/>
    <w:rsid w:val="008F4F07"/>
    <w:rsid w:val="008F7318"/>
    <w:rsid w:val="008F73C4"/>
    <w:rsid w:val="00900AC2"/>
    <w:rsid w:val="00904918"/>
    <w:rsid w:val="00905219"/>
    <w:rsid w:val="00906D42"/>
    <w:rsid w:val="009100BC"/>
    <w:rsid w:val="009242BA"/>
    <w:rsid w:val="00930ACA"/>
    <w:rsid w:val="00930FA4"/>
    <w:rsid w:val="00952D56"/>
    <w:rsid w:val="0095741F"/>
    <w:rsid w:val="009625AD"/>
    <w:rsid w:val="0096269C"/>
    <w:rsid w:val="00965BB9"/>
    <w:rsid w:val="00966EA5"/>
    <w:rsid w:val="00971897"/>
    <w:rsid w:val="00975AFB"/>
    <w:rsid w:val="009C3CAC"/>
    <w:rsid w:val="009C5C4C"/>
    <w:rsid w:val="009E11F7"/>
    <w:rsid w:val="009E6D97"/>
    <w:rsid w:val="009E71E1"/>
    <w:rsid w:val="009F260D"/>
    <w:rsid w:val="009F4A62"/>
    <w:rsid w:val="009F5212"/>
    <w:rsid w:val="00A0145A"/>
    <w:rsid w:val="00A020B5"/>
    <w:rsid w:val="00A02FC3"/>
    <w:rsid w:val="00A03AE4"/>
    <w:rsid w:val="00A044B4"/>
    <w:rsid w:val="00A267F3"/>
    <w:rsid w:val="00A36A31"/>
    <w:rsid w:val="00A54052"/>
    <w:rsid w:val="00A618AC"/>
    <w:rsid w:val="00A67901"/>
    <w:rsid w:val="00A70E26"/>
    <w:rsid w:val="00A71B01"/>
    <w:rsid w:val="00A76BAF"/>
    <w:rsid w:val="00A82A00"/>
    <w:rsid w:val="00A8618C"/>
    <w:rsid w:val="00A90BC3"/>
    <w:rsid w:val="00AA1828"/>
    <w:rsid w:val="00AA5191"/>
    <w:rsid w:val="00AC1048"/>
    <w:rsid w:val="00AD1528"/>
    <w:rsid w:val="00AE3126"/>
    <w:rsid w:val="00AF7339"/>
    <w:rsid w:val="00B24E00"/>
    <w:rsid w:val="00B27870"/>
    <w:rsid w:val="00B532DA"/>
    <w:rsid w:val="00B53797"/>
    <w:rsid w:val="00B5455A"/>
    <w:rsid w:val="00B572DF"/>
    <w:rsid w:val="00B62E72"/>
    <w:rsid w:val="00B678E9"/>
    <w:rsid w:val="00B76CAF"/>
    <w:rsid w:val="00B840CE"/>
    <w:rsid w:val="00B95458"/>
    <w:rsid w:val="00B956F1"/>
    <w:rsid w:val="00BB4F1A"/>
    <w:rsid w:val="00BC081D"/>
    <w:rsid w:val="00BE5971"/>
    <w:rsid w:val="00BE6F90"/>
    <w:rsid w:val="00BF3750"/>
    <w:rsid w:val="00BF7D5D"/>
    <w:rsid w:val="00C03AEC"/>
    <w:rsid w:val="00C07429"/>
    <w:rsid w:val="00C10B11"/>
    <w:rsid w:val="00C15888"/>
    <w:rsid w:val="00C23D1D"/>
    <w:rsid w:val="00C34470"/>
    <w:rsid w:val="00C354FA"/>
    <w:rsid w:val="00C357F1"/>
    <w:rsid w:val="00C3725B"/>
    <w:rsid w:val="00C4404E"/>
    <w:rsid w:val="00C5081F"/>
    <w:rsid w:val="00C52A6C"/>
    <w:rsid w:val="00C56375"/>
    <w:rsid w:val="00C568F5"/>
    <w:rsid w:val="00C64A97"/>
    <w:rsid w:val="00C7021A"/>
    <w:rsid w:val="00C75FCA"/>
    <w:rsid w:val="00C9300C"/>
    <w:rsid w:val="00CA3E9C"/>
    <w:rsid w:val="00CA726B"/>
    <w:rsid w:val="00CA75B4"/>
    <w:rsid w:val="00CC1C02"/>
    <w:rsid w:val="00CD2585"/>
    <w:rsid w:val="00CF4562"/>
    <w:rsid w:val="00CF4CB0"/>
    <w:rsid w:val="00D0598A"/>
    <w:rsid w:val="00D2510D"/>
    <w:rsid w:val="00D27FE0"/>
    <w:rsid w:val="00D30344"/>
    <w:rsid w:val="00D31AFD"/>
    <w:rsid w:val="00D376FB"/>
    <w:rsid w:val="00D52B21"/>
    <w:rsid w:val="00D70C3C"/>
    <w:rsid w:val="00D769F7"/>
    <w:rsid w:val="00DA117D"/>
    <w:rsid w:val="00DA1425"/>
    <w:rsid w:val="00DB4955"/>
    <w:rsid w:val="00DB6188"/>
    <w:rsid w:val="00DD5BDA"/>
    <w:rsid w:val="00DD5CCF"/>
    <w:rsid w:val="00DE58F4"/>
    <w:rsid w:val="00DE6C7C"/>
    <w:rsid w:val="00DE7819"/>
    <w:rsid w:val="00DF0BC1"/>
    <w:rsid w:val="00DF3FC7"/>
    <w:rsid w:val="00E0186C"/>
    <w:rsid w:val="00E02814"/>
    <w:rsid w:val="00E110ED"/>
    <w:rsid w:val="00E219CB"/>
    <w:rsid w:val="00E24146"/>
    <w:rsid w:val="00E3333B"/>
    <w:rsid w:val="00E43421"/>
    <w:rsid w:val="00E5798F"/>
    <w:rsid w:val="00E7460A"/>
    <w:rsid w:val="00E7785B"/>
    <w:rsid w:val="00EB046B"/>
    <w:rsid w:val="00EB3BD5"/>
    <w:rsid w:val="00EC622B"/>
    <w:rsid w:val="00ED299F"/>
    <w:rsid w:val="00EE76EA"/>
    <w:rsid w:val="00EF216F"/>
    <w:rsid w:val="00F107E0"/>
    <w:rsid w:val="00F12F18"/>
    <w:rsid w:val="00F14C32"/>
    <w:rsid w:val="00F32719"/>
    <w:rsid w:val="00F328C9"/>
    <w:rsid w:val="00F34596"/>
    <w:rsid w:val="00F40A03"/>
    <w:rsid w:val="00F453F9"/>
    <w:rsid w:val="00F5698F"/>
    <w:rsid w:val="00F72330"/>
    <w:rsid w:val="00F85546"/>
    <w:rsid w:val="00F85805"/>
    <w:rsid w:val="00F861A7"/>
    <w:rsid w:val="00FA0F1C"/>
    <w:rsid w:val="00FA3548"/>
    <w:rsid w:val="00FA79FD"/>
    <w:rsid w:val="00FB014F"/>
    <w:rsid w:val="00FB1667"/>
    <w:rsid w:val="00FB7790"/>
    <w:rsid w:val="00FD3656"/>
    <w:rsid w:val="00FD45C4"/>
    <w:rsid w:val="00FE287D"/>
    <w:rsid w:val="00FE29FD"/>
    <w:rsid w:val="00FF218D"/>
    <w:rsid w:val="00FF4BBA"/>
    <w:rsid w:val="00FF7E24"/>
    <w:rsid w:val="27030177"/>
    <w:rsid w:val="2D221274"/>
    <w:rsid w:val="42D80C0B"/>
    <w:rsid w:val="43962326"/>
    <w:rsid w:val="47BB6A36"/>
    <w:rsid w:val="490A09CB"/>
    <w:rsid w:val="517F4B6F"/>
    <w:rsid w:val="5CEF4278"/>
    <w:rsid w:val="7E787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19"/>
    <w:semiHidden/>
    <w:unhideWhenUsed/>
    <w:qFormat/>
    <w:uiPriority w:val="99"/>
    <w:rPr>
      <w:b/>
      <w:bCs/>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2"/>
    <w:link w:val="5"/>
    <w:semiHidden/>
    <w:qFormat/>
    <w:uiPriority w:val="99"/>
    <w:rPr>
      <w:sz w:val="18"/>
      <w:szCs w:val="18"/>
    </w:rPr>
  </w:style>
  <w:style w:type="character" w:customStyle="1" w:styleId="18">
    <w:name w:val="批注文字 字符"/>
    <w:basedOn w:val="12"/>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标题 1 字符"/>
    <w:basedOn w:val="12"/>
    <w:link w:val="2"/>
    <w:qFormat/>
    <w:uiPriority w:val="9"/>
    <w:rPr>
      <w:rFonts w:ascii="宋体" w:hAnsi="宋体" w:eastAsia="宋体" w:cs="宋体"/>
      <w:b/>
      <w:bCs/>
      <w:kern w:val="36"/>
      <w:sz w:val="48"/>
      <w:szCs w:val="48"/>
    </w:rPr>
  </w:style>
  <w:style w:type="character" w:customStyle="1" w:styleId="21">
    <w:name w:val="日期 字符"/>
    <w:basedOn w:val="12"/>
    <w:link w:val="4"/>
    <w:semiHidden/>
    <w:qFormat/>
    <w:uiPriority w:val="99"/>
  </w:style>
  <w:style w:type="character" w:customStyle="1" w:styleId="22">
    <w:name w:val="标题 1 Char1"/>
    <w:link w:val="2"/>
    <w:qFormat/>
    <w:uiPriority w:val="0"/>
    <w:rPr>
      <w:b/>
      <w:kern w:val="44"/>
      <w:sz w:val="4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34468-AC26-412E-99BA-F36E7A612A7D}">
  <ds:schemaRefs/>
</ds:datastoreItem>
</file>

<file path=docProps/app.xml><?xml version="1.0" encoding="utf-8"?>
<Properties xmlns="http://schemas.openxmlformats.org/officeDocument/2006/extended-properties" xmlns:vt="http://schemas.openxmlformats.org/officeDocument/2006/docPropsVTypes">
  <Template>Normal</Template>
  <Pages>10</Pages>
  <Words>4098</Words>
  <Characters>4744</Characters>
  <Lines>2</Lines>
  <Paragraphs>1</Paragraphs>
  <TotalTime>6</TotalTime>
  <ScaleCrop>false</ScaleCrop>
  <LinksUpToDate>false</LinksUpToDate>
  <CharactersWithSpaces>4842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2020-12-25T06:12:00Z</dcterms:created>
  <dc:creator>123</dc:creator>
  <cp:lastModifiedBy>123</cp:lastModifiedBy>
  <cp:lastPrinted>2021-12-30T05:55:00Z</cp:lastPrinted>
  <dcterms:modified xsi:type="dcterms:W3CDTF">2023-11-02T07:29:22Z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C3565E2A2E75497FADF908FA629E41F9_13</vt:lpwstr>
  </property>
</Properties>
</file>